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id w:val="1196587367"/>
        <w:docPartObj>
          <w:docPartGallery w:val="Cover Pages"/>
          <w:docPartUnique/>
        </w:docPartObj>
      </w:sdtPr>
      <w:sdtEndPr>
        <w:rPr>
          <w:sz w:val="20"/>
          <w:szCs w:val="20"/>
        </w:rPr>
      </w:sdtEndPr>
      <w:sdtContent>
        <w:p w14:paraId="3C961EC9" w14:textId="45108712" w:rsidR="00B452D9" w:rsidRDefault="00B452D9">
          <w:r>
            <w:rPr>
              <w:noProof/>
            </w:rPr>
            <w:drawing>
              <wp:anchor distT="0" distB="0" distL="114300" distR="114300" simplePos="0" relativeHeight="251658240" behindDoc="1" locked="0" layoutInCell="1" allowOverlap="1" wp14:anchorId="261A8C24" wp14:editId="45D2EDBE">
                <wp:simplePos x="0" y="0"/>
                <wp:positionH relativeFrom="column">
                  <wp:posOffset>-943583</wp:posOffset>
                </wp:positionH>
                <wp:positionV relativeFrom="page">
                  <wp:posOffset>4508</wp:posOffset>
                </wp:positionV>
                <wp:extent cx="7803514" cy="10089649"/>
                <wp:effectExtent l="0" t="0" r="0" b="0"/>
                <wp:wrapNone/>
                <wp:docPr id="20754322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432230" name="Picture 1"/>
                        <pic:cNvPicPr/>
                      </pic:nvPicPr>
                      <pic:blipFill>
                        <a:blip r:embed="rId7">
                          <a:extLst>
                            <a:ext uri="{28A0092B-C50C-407E-A947-70E740481C1C}">
                              <a14:useLocalDpi xmlns:a14="http://schemas.microsoft.com/office/drawing/2010/main" val="0"/>
                            </a:ext>
                          </a:extLst>
                        </a:blip>
                        <a:stretch>
                          <a:fillRect/>
                        </a:stretch>
                      </pic:blipFill>
                      <pic:spPr>
                        <a:xfrm>
                          <a:off x="0" y="0"/>
                          <a:ext cx="7803514" cy="10089649"/>
                        </a:xfrm>
                        <a:prstGeom prst="rect">
                          <a:avLst/>
                        </a:prstGeom>
                      </pic:spPr>
                    </pic:pic>
                  </a:graphicData>
                </a:graphic>
                <wp14:sizeRelH relativeFrom="page">
                  <wp14:pctWidth>0</wp14:pctWidth>
                </wp14:sizeRelH>
                <wp14:sizeRelV relativeFrom="page">
                  <wp14:pctHeight>0</wp14:pctHeight>
                </wp14:sizeRelV>
              </wp:anchor>
            </w:drawing>
          </w:r>
        </w:p>
        <w:p w14:paraId="52495C7B" w14:textId="77777777" w:rsidR="00FA64E0" w:rsidRDefault="00B452D9" w:rsidP="00FA64E0">
          <w:pPr>
            <w:rPr>
              <w:sz w:val="20"/>
              <w:szCs w:val="20"/>
            </w:rPr>
          </w:pPr>
          <w:r>
            <w:rPr>
              <w:sz w:val="20"/>
              <w:szCs w:val="20"/>
            </w:rPr>
            <w:br w:type="page"/>
          </w:r>
        </w:p>
      </w:sdtContent>
    </w:sdt>
    <w:p w14:paraId="1C235D07" w14:textId="4C0265EB" w:rsidR="0072352D" w:rsidRPr="00AF4457" w:rsidRDefault="00AF4457" w:rsidP="002F28E7">
      <w:pPr>
        <w:pStyle w:val="Default"/>
        <w:rPr>
          <w:rFonts w:ascii="Times New Roman" w:hAnsi="Times New Roman" w:cs="Times New Roman"/>
          <w:bCs/>
          <w:color w:val="791013"/>
          <w:lang w:val="fr-CA"/>
        </w:rPr>
      </w:pPr>
      <w:r w:rsidRPr="00AF4457">
        <w:rPr>
          <w:rFonts w:ascii="Times New Roman" w:hAnsi="Times New Roman" w:cs="Times New Roman"/>
          <w:bCs/>
          <w:color w:val="791013"/>
          <w:lang w:val="fr-CA"/>
        </w:rPr>
        <w:lastRenderedPageBreak/>
        <w:t>AVIS DE NON-RESPONSABILITÉ</w:t>
      </w:r>
    </w:p>
    <w:p w14:paraId="5F991F3D" w14:textId="4B3F0A5B" w:rsidR="00510B2C" w:rsidRPr="00510B2C" w:rsidRDefault="00510B2C" w:rsidP="00510B2C">
      <w:pPr>
        <w:pStyle w:val="Default"/>
        <w:rPr>
          <w:b/>
          <w:bCs/>
          <w:color w:val="000000" w:themeColor="text1"/>
          <w:sz w:val="20"/>
          <w:szCs w:val="20"/>
          <w:lang w:val="fr-CA"/>
        </w:rPr>
      </w:pPr>
      <w:r w:rsidRPr="00510B2C">
        <w:rPr>
          <w:b/>
          <w:bCs/>
          <w:color w:val="000000" w:themeColor="text1"/>
          <w:sz w:val="20"/>
          <w:szCs w:val="20"/>
          <w:lang w:val="fr-CA"/>
        </w:rPr>
        <w:t>Chaque province ou territoire possède ses propres lignes directrices et règlements en vertu de sa législation sur les normes d’emploi. Cet outil fournit un aperçu des lignes directrices générales applicables aux dispositions courantes, et vous devez consulter la réglementation spécifique applicable à votre juridiction (provinciale, territoriale ou fédérale).</w:t>
      </w:r>
    </w:p>
    <w:p w14:paraId="27ABB251" w14:textId="10503DC8" w:rsidR="002F28E7" w:rsidRDefault="00E7453A" w:rsidP="002F28E7">
      <w:pPr>
        <w:pStyle w:val="Default"/>
        <w:rPr>
          <w:rFonts w:cstheme="minorBidi"/>
          <w:b/>
          <w:bCs/>
          <w:color w:val="000000" w:themeColor="text1"/>
          <w:sz w:val="20"/>
          <w:szCs w:val="20"/>
        </w:rPr>
      </w:pPr>
      <w:r>
        <w:rPr>
          <w:rFonts w:cstheme="minorBidi"/>
          <w:b/>
          <w:bCs/>
          <w:noProof/>
          <w:color w:val="000000" w:themeColor="text1"/>
          <w:sz w:val="20"/>
          <w:szCs w:val="20"/>
        </w:rPr>
        <mc:AlternateContent>
          <mc:Choice Requires="wps">
            <w:drawing>
              <wp:anchor distT="0" distB="0" distL="114300" distR="114300" simplePos="0" relativeHeight="251659264" behindDoc="0" locked="0" layoutInCell="1" allowOverlap="1" wp14:anchorId="2709B2B2" wp14:editId="7042A90D">
                <wp:simplePos x="0" y="0"/>
                <wp:positionH relativeFrom="column">
                  <wp:posOffset>1411</wp:posOffset>
                </wp:positionH>
                <wp:positionV relativeFrom="paragraph">
                  <wp:posOffset>144780</wp:posOffset>
                </wp:positionV>
                <wp:extent cx="5861154" cy="1138767"/>
                <wp:effectExtent l="12700" t="12700" r="19050" b="17145"/>
                <wp:wrapNone/>
                <wp:docPr id="882171475" name="Rectangle 1"/>
                <wp:cNvGraphicFramePr/>
                <a:graphic xmlns:a="http://schemas.openxmlformats.org/drawingml/2006/main">
                  <a:graphicData uri="http://schemas.microsoft.com/office/word/2010/wordprocessingShape">
                    <wps:wsp>
                      <wps:cNvSpPr/>
                      <wps:spPr>
                        <a:xfrm>
                          <a:off x="0" y="0"/>
                          <a:ext cx="5861154" cy="1138767"/>
                        </a:xfrm>
                        <a:prstGeom prst="rect">
                          <a:avLst/>
                        </a:prstGeom>
                        <a:solidFill>
                          <a:srgbClr val="791013"/>
                        </a:solidFill>
                        <a:ln>
                          <a:solidFill>
                            <a:srgbClr val="791013"/>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659001E" w14:textId="77777777" w:rsidR="00E7453A" w:rsidRPr="00E7453A" w:rsidRDefault="00E7453A" w:rsidP="00E7453A">
                            <w:pPr>
                              <w:spacing w:after="0"/>
                              <w:rPr>
                                <w:b/>
                                <w:bCs/>
                              </w:rPr>
                            </w:pPr>
                            <w:r w:rsidRPr="00E7453A">
                              <w:rPr>
                                <w:b/>
                                <w:bCs/>
                              </w:rPr>
                              <w:t>NOTE</w:t>
                            </w:r>
                          </w:p>
                          <w:p w14:paraId="50AB71D9" w14:textId="6A3FBCB3" w:rsidR="00510B2C" w:rsidRPr="00510B2C" w:rsidRDefault="00510B2C" w:rsidP="00510B2C">
                            <w:pPr>
                              <w:rPr>
                                <w:sz w:val="21"/>
                                <w:szCs w:val="21"/>
                                <w:lang w:val="fr-CA"/>
                              </w:rPr>
                            </w:pPr>
                            <w:r w:rsidRPr="00510B2C">
                              <w:rPr>
                                <w:sz w:val="21"/>
                                <w:szCs w:val="21"/>
                                <w:lang w:val="fr-CA"/>
                              </w:rPr>
                              <w:t>Cet outil est conçu comme un modèle. Tout le texte entre crochet] doit être adapté à votre organisation et à ses besoins spécifiques. Assurez-vous de revoir la politique dans son ensemble et d’y apporter les modifications nécessaires afin qu’elle reflète les valeurs, les objectifs, l’approche de votre organisation ainsi que toute politique connexe ou exigence législative applicable.</w:t>
                            </w:r>
                          </w:p>
                          <w:p w14:paraId="12E74EF6" w14:textId="5C3B7B68" w:rsidR="00E7453A" w:rsidRPr="00E7453A" w:rsidRDefault="00E7453A" w:rsidP="00E7453A">
                            <w:pPr>
                              <w:rPr>
                                <w:sz w:val="21"/>
                                <w:szCs w:val="2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709B2B2" id="Rectangle 1" o:spid="_x0000_s1026" style="position:absolute;margin-left:.1pt;margin-top:11.4pt;width:461.5pt;height:89.6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" fillcolor="#791013" strokecolor="#791013" strokeweight="1.5pt">
                <v:textbox>
                  <w:txbxContent>
                    <w:p w14:paraId="1659001E" w14:textId="77777777" w:rsidR="00E7453A" w:rsidRPr="00E7453A" w:rsidRDefault="00E7453A" w:rsidP="00E7453A">
                      <w:pPr>
                        <w:spacing w:after="0"/>
                        <w:rPr>
                          <w:b/>
                          <w:bCs/>
                        </w:rPr>
                      </w:pPr>
                      <w:r w:rsidRPr="00E7453A">
                        <w:rPr>
                          <w:b/>
                          <w:bCs/>
                        </w:rPr>
                        <w:t>NOTE</w:t>
                      </w:r>
                    </w:p>
                    <w:p w14:paraId="50AB71D9" w14:textId="6A3FBCB3" w:rsidR="00510B2C" w:rsidRPr="00510B2C" w:rsidRDefault="00510B2C" w:rsidP="00510B2C">
                      <w:pPr>
                        <w:rPr>
                          <w:sz w:val="21"/>
                          <w:szCs w:val="21"/>
                          <w:lang w:val="fr-CA"/>
                        </w:rPr>
                      </w:pPr>
                      <w:r w:rsidRPr="00510B2C">
                        <w:rPr>
                          <w:sz w:val="21"/>
                          <w:szCs w:val="21"/>
                          <w:lang w:val="fr-CA"/>
                        </w:rPr>
                        <w:t>Cet outil est conçu comme un modèle. Tout le texte entre crochet] doit être adapté à votre organisation et à ses besoins spécifiques. Assurez-vous de revoir la politique dans son ensemble et d’y apporter les modifications nécessaires afin qu’elle reflète les valeurs, les objectifs, l’approche de votre organisation ainsi que toute politique connexe ou exigence législative applicable.</w:t>
                      </w:r>
                    </w:p>
                    <w:p w14:paraId="12E74EF6" w14:textId="5C3B7B68" w:rsidR="00E7453A" w:rsidRPr="00E7453A" w:rsidRDefault="00E7453A" w:rsidP="00E7453A">
                      <w:pPr>
                        <w:rPr>
                          <w:sz w:val="21"/>
                          <w:szCs w:val="21"/>
                        </w:rPr>
                      </w:pPr>
                    </w:p>
                  </w:txbxContent>
                </v:textbox>
              </v:rect>
            </w:pict>
          </mc:Fallback>
        </mc:AlternateContent>
      </w:r>
    </w:p>
    <w:p w14:paraId="5C42AC48" w14:textId="49C143D9" w:rsidR="002F28E7" w:rsidRDefault="002F28E7" w:rsidP="002F28E7">
      <w:pPr>
        <w:pStyle w:val="Default"/>
        <w:rPr>
          <w:rFonts w:cstheme="minorBidi"/>
          <w:b/>
          <w:bCs/>
          <w:color w:val="000000" w:themeColor="text1"/>
          <w:sz w:val="20"/>
          <w:szCs w:val="20"/>
        </w:rPr>
      </w:pPr>
    </w:p>
    <w:p w14:paraId="51968351" w14:textId="77777777" w:rsidR="00E7453A" w:rsidRDefault="00E7453A" w:rsidP="002F28E7">
      <w:pPr>
        <w:pStyle w:val="Default"/>
        <w:rPr>
          <w:rFonts w:cstheme="minorBidi"/>
          <w:b/>
          <w:bCs/>
          <w:color w:val="000000" w:themeColor="text1"/>
          <w:sz w:val="20"/>
          <w:szCs w:val="20"/>
        </w:rPr>
      </w:pPr>
    </w:p>
    <w:p w14:paraId="12973226" w14:textId="77777777" w:rsidR="00E7453A" w:rsidRDefault="00E7453A" w:rsidP="002F28E7">
      <w:pPr>
        <w:pStyle w:val="Default"/>
        <w:rPr>
          <w:rFonts w:cstheme="minorBidi"/>
          <w:b/>
          <w:bCs/>
          <w:color w:val="000000" w:themeColor="text1"/>
          <w:sz w:val="20"/>
          <w:szCs w:val="20"/>
        </w:rPr>
      </w:pPr>
    </w:p>
    <w:p w14:paraId="3108BE7A" w14:textId="77777777" w:rsidR="00E7453A" w:rsidRDefault="00E7453A" w:rsidP="002F28E7">
      <w:pPr>
        <w:pStyle w:val="Default"/>
        <w:rPr>
          <w:rFonts w:cstheme="minorBidi"/>
          <w:b/>
          <w:bCs/>
          <w:color w:val="000000" w:themeColor="text1"/>
          <w:sz w:val="20"/>
          <w:szCs w:val="20"/>
        </w:rPr>
      </w:pPr>
    </w:p>
    <w:p w14:paraId="4A7D5F79" w14:textId="77777777" w:rsidR="00E7453A" w:rsidRDefault="00E7453A" w:rsidP="002F28E7">
      <w:pPr>
        <w:pStyle w:val="Default"/>
        <w:rPr>
          <w:rFonts w:cstheme="minorBidi"/>
          <w:b/>
          <w:bCs/>
          <w:color w:val="000000" w:themeColor="text1"/>
          <w:sz w:val="20"/>
          <w:szCs w:val="20"/>
        </w:rPr>
      </w:pPr>
    </w:p>
    <w:p w14:paraId="79C2DAFA" w14:textId="77777777" w:rsidR="00E7453A" w:rsidRDefault="00E7453A" w:rsidP="002F28E7">
      <w:pPr>
        <w:pStyle w:val="Default"/>
        <w:rPr>
          <w:rFonts w:cstheme="minorBidi"/>
          <w:b/>
          <w:bCs/>
          <w:color w:val="000000" w:themeColor="text1"/>
          <w:sz w:val="20"/>
          <w:szCs w:val="20"/>
        </w:rPr>
      </w:pPr>
    </w:p>
    <w:p w14:paraId="16916A9F" w14:textId="77777777" w:rsidR="00E7453A" w:rsidRDefault="00E7453A" w:rsidP="002F28E7">
      <w:pPr>
        <w:pStyle w:val="Default"/>
        <w:rPr>
          <w:rFonts w:cstheme="minorBidi"/>
          <w:b/>
          <w:bCs/>
          <w:color w:val="000000" w:themeColor="text1"/>
          <w:sz w:val="20"/>
          <w:szCs w:val="20"/>
        </w:rPr>
      </w:pPr>
    </w:p>
    <w:p w14:paraId="11F97831" w14:textId="77777777" w:rsidR="00E7453A" w:rsidRDefault="00E7453A" w:rsidP="002F28E7">
      <w:pPr>
        <w:pStyle w:val="Default"/>
        <w:rPr>
          <w:rFonts w:cstheme="minorBidi"/>
          <w:b/>
          <w:bCs/>
          <w:color w:val="000000" w:themeColor="text1"/>
          <w:sz w:val="20"/>
          <w:szCs w:val="20"/>
        </w:rPr>
      </w:pPr>
    </w:p>
    <w:p w14:paraId="6EEBF6B2" w14:textId="716B13C8" w:rsidR="00E7453A" w:rsidRPr="00510B2C" w:rsidRDefault="00510B2C" w:rsidP="00E7453A">
      <w:pPr>
        <w:pStyle w:val="Default"/>
        <w:rPr>
          <w:b/>
          <w:bCs/>
          <w:color w:val="000000" w:themeColor="text1"/>
          <w:sz w:val="20"/>
          <w:szCs w:val="20"/>
          <w:lang w:val="fr-CA"/>
        </w:rPr>
      </w:pPr>
      <w:r w:rsidRPr="00510B2C">
        <w:rPr>
          <w:b/>
          <w:bCs/>
          <w:color w:val="000000" w:themeColor="text1"/>
          <w:sz w:val="20"/>
          <w:szCs w:val="20"/>
          <w:lang w:val="fr-CA"/>
        </w:rPr>
        <w:t>Une politique de conflit d’intérêts vise à établir des procédures à suivre lorsque les intérêts personnels d’un employé peuvent entrer en conflit avec ceux de l’employeur. Un conflit peut survenir dans diverses situations, notamment en raison de relations personnelles ou d’intérêts financiers. Lorsqu’ils ne sont pas adéquatement gérés, ces conflits peuvent entraîner une perte de confiance et même des conséquences juridiques. La mise en place d’une politique claire et efficace permet de réduire les risques de litige et autres risques organisationnels.</w:t>
      </w:r>
    </w:p>
    <w:p w14:paraId="6A895521" w14:textId="77777777" w:rsidR="00E7453A" w:rsidRPr="00E7453A" w:rsidRDefault="00E7453A" w:rsidP="00E7453A">
      <w:pPr>
        <w:autoSpaceDE w:val="0"/>
        <w:autoSpaceDN w:val="0"/>
        <w:adjustRightInd w:val="0"/>
        <w:spacing w:after="0" w:line="240" w:lineRule="auto"/>
        <w:rPr>
          <w:rFonts w:ascii="Times New Roman" w:hAnsi="Times New Roman" w:cs="Times New Roman"/>
          <w:color w:val="000000"/>
          <w:kern w:val="0"/>
          <w:lang w:val="en-US"/>
        </w:rPr>
      </w:pPr>
    </w:p>
    <w:p w14:paraId="78000467" w14:textId="2EF71883" w:rsidR="00E7453A" w:rsidRPr="00510B2C" w:rsidRDefault="00510B2C" w:rsidP="00E7453A">
      <w:pPr>
        <w:pStyle w:val="Default"/>
        <w:rPr>
          <w:rFonts w:ascii="Times New Roman" w:hAnsi="Times New Roman" w:cs="Times New Roman"/>
          <w:bCs/>
          <w:color w:val="791013"/>
          <w:lang w:val="fr-CA"/>
        </w:rPr>
      </w:pPr>
      <w:r w:rsidRPr="00510B2C">
        <w:rPr>
          <w:rFonts w:ascii="Times New Roman" w:hAnsi="Times New Roman" w:cs="Times New Roman"/>
          <w:bCs/>
          <w:color w:val="791013"/>
          <w:lang w:val="fr-CA"/>
        </w:rPr>
        <w:t>INTRODUCTION</w:t>
      </w:r>
    </w:p>
    <w:p w14:paraId="0F18AC45" w14:textId="77777777" w:rsidR="00510B2C" w:rsidRPr="00510B2C" w:rsidRDefault="00510B2C" w:rsidP="00510B2C">
      <w:pPr>
        <w:autoSpaceDE w:val="0"/>
        <w:autoSpaceDN w:val="0"/>
        <w:adjustRightInd w:val="0"/>
        <w:spacing w:after="0" w:line="240" w:lineRule="auto"/>
        <w:rPr>
          <w:rFonts w:ascii="Canva Sans" w:hAnsi="Canva Sans"/>
          <w:color w:val="000000" w:themeColor="text1"/>
          <w:kern w:val="0"/>
          <w:sz w:val="20"/>
          <w:szCs w:val="20"/>
          <w:lang w:val="fr-CA"/>
        </w:rPr>
      </w:pPr>
      <w:r w:rsidRPr="00510B2C">
        <w:rPr>
          <w:rFonts w:ascii="Canva Sans" w:hAnsi="Canva Sans"/>
          <w:color w:val="000000" w:themeColor="text1"/>
          <w:kern w:val="0"/>
          <w:sz w:val="20"/>
          <w:szCs w:val="20"/>
          <w:lang w:val="fr-CA"/>
        </w:rPr>
        <w:t>Au cours du cycle d’emploi, il peut arriver qu’un employé se retrouve en situation de conflit d’intérêts avec [Nom de l’employeur], que ce soit en raison d’intérêts personnels, financiers, de relations personnelles ou d’autres facteurs. La présente politique vise à établir des balises, des responsabilités et des protocoles afin de gérer efficacement ces situations, le cas échéant.</w:t>
      </w:r>
    </w:p>
    <w:p w14:paraId="0A6F77B2" w14:textId="77777777" w:rsidR="00E7453A" w:rsidRPr="00E7453A" w:rsidRDefault="00E7453A" w:rsidP="00E7453A">
      <w:pPr>
        <w:autoSpaceDE w:val="0"/>
        <w:autoSpaceDN w:val="0"/>
        <w:adjustRightInd w:val="0"/>
        <w:spacing w:after="0" w:line="240" w:lineRule="auto"/>
        <w:rPr>
          <w:rFonts w:ascii="Times New Roman" w:hAnsi="Times New Roman" w:cs="Times New Roman"/>
          <w:color w:val="000000"/>
          <w:kern w:val="0"/>
          <w:lang w:val="en-US"/>
        </w:rPr>
      </w:pPr>
    </w:p>
    <w:p w14:paraId="18A88FDD" w14:textId="1E13DBED" w:rsidR="00510B2C" w:rsidRPr="00510B2C" w:rsidRDefault="00510B2C" w:rsidP="00510B2C">
      <w:pPr>
        <w:pStyle w:val="Default"/>
        <w:rPr>
          <w:rFonts w:ascii="Times New Roman" w:hAnsi="Times New Roman" w:cs="Times New Roman"/>
          <w:bCs/>
          <w:color w:val="791013"/>
          <w:lang w:val="fr-CA"/>
        </w:rPr>
      </w:pPr>
      <w:r w:rsidRPr="00510B2C">
        <w:rPr>
          <w:rFonts w:ascii="Times New Roman" w:hAnsi="Times New Roman" w:cs="Times New Roman"/>
          <w:bCs/>
          <w:color w:val="791013"/>
          <w:lang w:val="fr-CA"/>
        </w:rPr>
        <w:t>DÉFINITION DU CONFLIT D’INTÉRÊTS (CI)</w:t>
      </w:r>
    </w:p>
    <w:p w14:paraId="07309AF3" w14:textId="77777777" w:rsidR="00510B2C" w:rsidRPr="00510B2C" w:rsidRDefault="00510B2C" w:rsidP="00510B2C">
      <w:pPr>
        <w:pStyle w:val="Default"/>
        <w:rPr>
          <w:color w:val="000000" w:themeColor="text1"/>
          <w:sz w:val="20"/>
          <w:szCs w:val="20"/>
          <w:lang w:val="fr-CA"/>
        </w:rPr>
      </w:pPr>
      <w:r w:rsidRPr="00510B2C">
        <w:rPr>
          <w:color w:val="000000" w:themeColor="text1"/>
          <w:sz w:val="20"/>
          <w:szCs w:val="20"/>
          <w:lang w:val="fr-CA"/>
        </w:rPr>
        <w:t>Un conflit d’intérêts survient lorsqu’un employé se trouve dans une situation où ses intérêts personnels, financiers ou autres, ou ceux d’un membre de sa famille immédiate ou d’une personne avec laquelle il entretient, ou a récemment entretenu, une relation personnelle, entrent en conflit ou semblent entrer en conflit avec ses responsabilités envers l’employeur ou avec les intérêts de l’employeur. Cela inclut les situations où l’employé est en mesure d’influencer, directement ou indirectement, des décisions d’affaires ou autres de manière à procurer un avantage ou un bénéfice à lui-même ou à un membre de sa famille immédiate.</w:t>
      </w:r>
    </w:p>
    <w:p w14:paraId="6EB51DD6" w14:textId="77777777" w:rsidR="00510B2C" w:rsidRPr="00510B2C" w:rsidRDefault="00510B2C" w:rsidP="00510B2C">
      <w:pPr>
        <w:pStyle w:val="Default"/>
        <w:rPr>
          <w:color w:val="000000" w:themeColor="text1"/>
          <w:sz w:val="20"/>
          <w:szCs w:val="20"/>
          <w:lang w:val="fr-CA"/>
        </w:rPr>
      </w:pPr>
    </w:p>
    <w:p w14:paraId="35469879" w14:textId="77777777" w:rsidR="00510B2C" w:rsidRPr="00510B2C" w:rsidRDefault="00510B2C" w:rsidP="00510B2C">
      <w:pPr>
        <w:pStyle w:val="Default"/>
        <w:rPr>
          <w:color w:val="000000" w:themeColor="text1"/>
          <w:sz w:val="20"/>
          <w:szCs w:val="20"/>
          <w:lang w:val="fr-CA"/>
        </w:rPr>
      </w:pPr>
      <w:r w:rsidRPr="00510B2C">
        <w:rPr>
          <w:color w:val="000000" w:themeColor="text1"/>
          <w:sz w:val="20"/>
          <w:szCs w:val="20"/>
          <w:lang w:val="fr-CA"/>
        </w:rPr>
        <w:t>Un conflit d’engagement peut également survenir lorsque les activités externes d’un employé, rémunérées ou non, nuisent à sa capacité de remplir ses responsabilités envers l’employeur.</w:t>
      </w:r>
    </w:p>
    <w:p w14:paraId="787396F8" w14:textId="77777777" w:rsidR="00E7453A" w:rsidRDefault="00E7453A" w:rsidP="00E7453A">
      <w:pPr>
        <w:pStyle w:val="Default"/>
        <w:rPr>
          <w:rFonts w:cstheme="minorBidi"/>
          <w:color w:val="000000" w:themeColor="text1"/>
          <w:sz w:val="20"/>
          <w:szCs w:val="20"/>
        </w:rPr>
      </w:pPr>
    </w:p>
    <w:p w14:paraId="27941FC5" w14:textId="77777777" w:rsidR="00510B2C" w:rsidRDefault="00510B2C" w:rsidP="00510B2C">
      <w:pPr>
        <w:pStyle w:val="Default"/>
        <w:rPr>
          <w:rFonts w:ascii="Times New Roman" w:hAnsi="Times New Roman" w:cs="Times New Roman"/>
          <w:bCs/>
          <w:color w:val="791013"/>
          <w:lang w:val="fr-CA"/>
        </w:rPr>
      </w:pPr>
    </w:p>
    <w:p w14:paraId="516011BF" w14:textId="77777777" w:rsidR="00510B2C" w:rsidRDefault="00510B2C" w:rsidP="00510B2C">
      <w:pPr>
        <w:pStyle w:val="Default"/>
        <w:rPr>
          <w:rFonts w:ascii="Times New Roman" w:hAnsi="Times New Roman" w:cs="Times New Roman"/>
          <w:bCs/>
          <w:color w:val="791013"/>
          <w:lang w:val="fr-CA"/>
        </w:rPr>
      </w:pPr>
    </w:p>
    <w:p w14:paraId="24192E16" w14:textId="77777777" w:rsidR="00510B2C" w:rsidRDefault="00510B2C" w:rsidP="00510B2C">
      <w:pPr>
        <w:pStyle w:val="Default"/>
        <w:rPr>
          <w:rFonts w:ascii="Times New Roman" w:hAnsi="Times New Roman" w:cs="Times New Roman"/>
          <w:bCs/>
          <w:color w:val="791013"/>
          <w:lang w:val="fr-CA"/>
        </w:rPr>
      </w:pPr>
    </w:p>
    <w:p w14:paraId="3C4C8685" w14:textId="6D95BA4E" w:rsidR="00510B2C" w:rsidRPr="00510B2C" w:rsidRDefault="00510B2C" w:rsidP="00510B2C">
      <w:pPr>
        <w:pStyle w:val="Default"/>
        <w:rPr>
          <w:rFonts w:ascii="Times New Roman" w:hAnsi="Times New Roman" w:cs="Times New Roman"/>
          <w:bCs/>
          <w:color w:val="791013"/>
          <w:lang w:val="fr-CA"/>
        </w:rPr>
      </w:pPr>
      <w:r w:rsidRPr="00510B2C">
        <w:rPr>
          <w:rFonts w:ascii="Times New Roman" w:hAnsi="Times New Roman" w:cs="Times New Roman"/>
          <w:bCs/>
          <w:color w:val="791013"/>
          <w:lang w:val="fr-CA"/>
        </w:rPr>
        <w:lastRenderedPageBreak/>
        <w:t>DÉFINITION DES RELATIONS FAMILIALES</w:t>
      </w:r>
    </w:p>
    <w:p w14:paraId="0954F925" w14:textId="5ED15FE6" w:rsidR="00E7453A" w:rsidRPr="00E7453A" w:rsidRDefault="00E7453A" w:rsidP="00E7453A">
      <w:pPr>
        <w:pStyle w:val="Default"/>
        <w:rPr>
          <w:rFonts w:ascii="Times New Roman" w:hAnsi="Times New Roman" w:cs="Times New Roman"/>
          <w:color w:val="791013"/>
        </w:rPr>
      </w:pPr>
    </w:p>
    <w:p w14:paraId="00F31056" w14:textId="77777777" w:rsidR="00510B2C" w:rsidRPr="00510B2C" w:rsidRDefault="00510B2C" w:rsidP="00510B2C">
      <w:pPr>
        <w:pStyle w:val="Default"/>
        <w:rPr>
          <w:sz w:val="20"/>
          <w:szCs w:val="20"/>
          <w:lang w:val="fr-CA"/>
        </w:rPr>
      </w:pPr>
      <w:r w:rsidRPr="00510B2C">
        <w:rPr>
          <w:sz w:val="20"/>
          <w:szCs w:val="20"/>
          <w:lang w:val="fr-CA"/>
        </w:rPr>
        <w:t>Dans un contexte autochtone, la notion de « relation familiale » dépasse les membres de la famille immédiate. Elle englobe un réseau élargi de relations de parenté, incluant la famille élargie, les membres de la communauté et les liens spirituels. Une vision holistique de la famille peut inclure les parents biologiques, la famille choisie, les aînés, les ancêtres et même des entités non humaines (telles que les animaux ou les éléments naturels). Aux fins de la présente politique, « relation familiales » est défini comme suit : [insérer la définition propre à votre organisation].</w:t>
      </w:r>
    </w:p>
    <w:p w14:paraId="71BFDBCD" w14:textId="77777777" w:rsidR="00E7453A" w:rsidRDefault="00E7453A" w:rsidP="00E7453A">
      <w:pPr>
        <w:pStyle w:val="Default"/>
        <w:rPr>
          <w:rFonts w:cstheme="minorBidi"/>
          <w:color w:val="auto"/>
          <w:sz w:val="20"/>
          <w:szCs w:val="20"/>
        </w:rPr>
      </w:pPr>
    </w:p>
    <w:p w14:paraId="6C9CD3C3" w14:textId="2508172B" w:rsidR="00510B2C" w:rsidRPr="00510B2C" w:rsidRDefault="00510B2C" w:rsidP="00510B2C">
      <w:pPr>
        <w:pStyle w:val="Default"/>
        <w:rPr>
          <w:i/>
          <w:iCs/>
          <w:color w:val="53050A"/>
          <w:sz w:val="18"/>
          <w:szCs w:val="18"/>
          <w:lang w:val="fr-CA"/>
        </w:rPr>
      </w:pPr>
      <w:r w:rsidRPr="00510B2C">
        <w:rPr>
          <w:i/>
          <w:iCs/>
          <w:color w:val="53050A"/>
          <w:sz w:val="18"/>
          <w:szCs w:val="18"/>
          <w:lang w:val="fr-CA"/>
        </w:rPr>
        <w:t>Exemple : « relations familiales » incluent les relations biologiques, adoptives ou par alliance : mère, père, grand-mère, grand-père, sœur, frère, tante, oncle, cousin. Toutefois, toute autre relation pouvant être considérée comme « familiale » par extension ou par lien communautaire peut être déclarée à la discrétion de l’employé, selon sa compréhension des relations familiales. Si un conflit survient, l’employeur déterminera s’il aurait raisonnablement dû être divulgué.</w:t>
      </w:r>
    </w:p>
    <w:p w14:paraId="07199E67" w14:textId="5774DD92" w:rsidR="00E7453A" w:rsidRDefault="00E7453A" w:rsidP="00E7453A">
      <w:pPr>
        <w:pStyle w:val="Default"/>
        <w:rPr>
          <w:i/>
          <w:iCs/>
          <w:color w:val="53050A"/>
          <w:sz w:val="18"/>
          <w:szCs w:val="18"/>
        </w:rPr>
      </w:pPr>
    </w:p>
    <w:p w14:paraId="218B972B" w14:textId="77777777" w:rsidR="00E7453A" w:rsidRPr="00E7453A" w:rsidRDefault="00E7453A" w:rsidP="00E7453A">
      <w:pPr>
        <w:autoSpaceDE w:val="0"/>
        <w:autoSpaceDN w:val="0"/>
        <w:adjustRightInd w:val="0"/>
        <w:spacing w:after="0" w:line="240" w:lineRule="auto"/>
        <w:rPr>
          <w:rFonts w:ascii="Times New Roman" w:hAnsi="Times New Roman" w:cs="Times New Roman"/>
          <w:color w:val="000000"/>
          <w:kern w:val="0"/>
          <w:lang w:val="en-US"/>
        </w:rPr>
      </w:pPr>
    </w:p>
    <w:p w14:paraId="63FAB4AA" w14:textId="037DB8A3" w:rsidR="00E7453A" w:rsidRPr="00510B2C" w:rsidRDefault="00510B2C" w:rsidP="00E7453A">
      <w:pPr>
        <w:pStyle w:val="Default"/>
        <w:rPr>
          <w:rFonts w:ascii="Times New Roman" w:hAnsi="Times New Roman" w:cs="Times New Roman"/>
          <w:bCs/>
          <w:color w:val="791013"/>
          <w:lang w:val="fr-CA"/>
        </w:rPr>
      </w:pPr>
      <w:r w:rsidRPr="00510B2C">
        <w:rPr>
          <w:rFonts w:ascii="Times New Roman" w:hAnsi="Times New Roman" w:cs="Times New Roman"/>
          <w:bCs/>
          <w:color w:val="791013"/>
          <w:lang w:val="fr-CA"/>
        </w:rPr>
        <w:t>ÉNONCÉ DE POLITIQUE</w:t>
      </w:r>
    </w:p>
    <w:p w14:paraId="7243F423" w14:textId="77777777" w:rsidR="00510B2C" w:rsidRPr="00510B2C" w:rsidRDefault="00510B2C" w:rsidP="00510B2C">
      <w:pPr>
        <w:autoSpaceDE w:val="0"/>
        <w:autoSpaceDN w:val="0"/>
        <w:adjustRightInd w:val="0"/>
        <w:spacing w:after="0" w:line="240" w:lineRule="auto"/>
        <w:rPr>
          <w:rFonts w:ascii="Canva Sans" w:hAnsi="Canva Sans"/>
          <w:kern w:val="0"/>
          <w:sz w:val="20"/>
          <w:szCs w:val="20"/>
          <w:lang w:val="fr-CA"/>
        </w:rPr>
      </w:pPr>
      <w:r w:rsidRPr="00510B2C">
        <w:rPr>
          <w:rFonts w:ascii="Canva Sans" w:hAnsi="Canva Sans"/>
          <w:kern w:val="0"/>
          <w:sz w:val="20"/>
          <w:szCs w:val="20"/>
          <w:lang w:val="fr-CA"/>
        </w:rPr>
        <w:t>Bien que [Nom de l’employeur] vise à éviter ou à minimiser les conflits d’intérêts, nous mettrons en œuvre une stratégie d’atténuation documentée afin de réduire les risques pour l’employé, l’employeur et toute partie concernée lorsque le risque ne peut être entièrement éliminé.</w:t>
      </w:r>
    </w:p>
    <w:p w14:paraId="33F9DCA0" w14:textId="77777777" w:rsidR="00510B2C" w:rsidRPr="00510B2C" w:rsidRDefault="00510B2C" w:rsidP="00510B2C">
      <w:pPr>
        <w:autoSpaceDE w:val="0"/>
        <w:autoSpaceDN w:val="0"/>
        <w:adjustRightInd w:val="0"/>
        <w:spacing w:after="0" w:line="240" w:lineRule="auto"/>
        <w:rPr>
          <w:rFonts w:ascii="Canva Sans" w:hAnsi="Canva Sans"/>
          <w:kern w:val="0"/>
          <w:sz w:val="20"/>
          <w:szCs w:val="20"/>
          <w:lang w:val="fr-CA"/>
        </w:rPr>
      </w:pPr>
    </w:p>
    <w:p w14:paraId="1391ADFC" w14:textId="77777777" w:rsidR="00510B2C" w:rsidRPr="00510B2C" w:rsidRDefault="00510B2C" w:rsidP="00510B2C">
      <w:pPr>
        <w:autoSpaceDE w:val="0"/>
        <w:autoSpaceDN w:val="0"/>
        <w:adjustRightInd w:val="0"/>
        <w:spacing w:after="0" w:line="240" w:lineRule="auto"/>
        <w:rPr>
          <w:rFonts w:ascii="Canva Sans" w:hAnsi="Canva Sans"/>
          <w:kern w:val="0"/>
          <w:sz w:val="20"/>
          <w:szCs w:val="20"/>
          <w:lang w:val="fr-CA"/>
        </w:rPr>
      </w:pPr>
      <w:r w:rsidRPr="00510B2C">
        <w:rPr>
          <w:rFonts w:ascii="Canva Sans" w:hAnsi="Canva Sans"/>
          <w:kern w:val="0"/>
          <w:sz w:val="20"/>
          <w:szCs w:val="20"/>
          <w:lang w:val="fr-CA"/>
        </w:rPr>
        <w:t>Si un employé omet de divulguer par écrit un conflit d’intérêts réel, potentiel ou perçu conformément à la présente politique, un examen formel sera effectué, pouvant mener à des mesures disciplinaires, y compris le congédiement.</w:t>
      </w:r>
    </w:p>
    <w:p w14:paraId="22E2EA97" w14:textId="77777777" w:rsidR="00E7453A" w:rsidRPr="00E7453A" w:rsidRDefault="00E7453A" w:rsidP="00E7453A">
      <w:pPr>
        <w:autoSpaceDE w:val="0"/>
        <w:autoSpaceDN w:val="0"/>
        <w:adjustRightInd w:val="0"/>
        <w:spacing w:after="0" w:line="240" w:lineRule="auto"/>
        <w:rPr>
          <w:rFonts w:ascii="Times New Roman" w:hAnsi="Times New Roman" w:cs="Times New Roman"/>
          <w:color w:val="000000"/>
          <w:kern w:val="0"/>
          <w:lang w:val="en-US"/>
        </w:rPr>
      </w:pPr>
    </w:p>
    <w:p w14:paraId="0351FE23" w14:textId="7DA0190D" w:rsidR="00E7453A" w:rsidRPr="00510B2C" w:rsidRDefault="00510B2C" w:rsidP="00E7453A">
      <w:pPr>
        <w:pStyle w:val="Default"/>
        <w:rPr>
          <w:rFonts w:ascii="Times New Roman" w:hAnsi="Times New Roman" w:cs="Times New Roman"/>
          <w:bCs/>
          <w:color w:val="791013"/>
          <w:lang w:val="fr-CA"/>
        </w:rPr>
      </w:pPr>
      <w:r w:rsidRPr="00510B2C">
        <w:rPr>
          <w:rFonts w:ascii="Times New Roman" w:hAnsi="Times New Roman" w:cs="Times New Roman"/>
          <w:bCs/>
          <w:color w:val="791013"/>
          <w:lang w:val="fr-CA"/>
        </w:rPr>
        <w:t>RÔLES ET RESPONSABILITÉS</w:t>
      </w:r>
    </w:p>
    <w:p w14:paraId="1B3C2348" w14:textId="77777777" w:rsidR="00510B2C" w:rsidRPr="00510B2C" w:rsidRDefault="00510B2C" w:rsidP="00510B2C">
      <w:pPr>
        <w:pStyle w:val="Default"/>
        <w:rPr>
          <w:sz w:val="20"/>
          <w:szCs w:val="20"/>
          <w:lang w:val="fr-CA"/>
        </w:rPr>
      </w:pPr>
      <w:r w:rsidRPr="00510B2C">
        <w:rPr>
          <w:sz w:val="20"/>
          <w:szCs w:val="20"/>
          <w:lang w:val="fr-CA"/>
        </w:rPr>
        <w:t>Les employés ont l’obligation de déclarer tout conflit d’intérêts réel, potentiel ou perçu dès qu’ils ont des motifs raisonnables de croire qu’un conflit pourrait exister.</w:t>
      </w:r>
    </w:p>
    <w:p w14:paraId="6D22396D" w14:textId="77777777" w:rsidR="00510B2C" w:rsidRPr="00510B2C" w:rsidRDefault="00510B2C" w:rsidP="00510B2C">
      <w:pPr>
        <w:pStyle w:val="Default"/>
        <w:rPr>
          <w:sz w:val="20"/>
          <w:szCs w:val="20"/>
          <w:lang w:val="fr-CA"/>
        </w:rPr>
      </w:pPr>
    </w:p>
    <w:p w14:paraId="5501F43F" w14:textId="77777777" w:rsidR="00510B2C" w:rsidRPr="00510B2C" w:rsidRDefault="00510B2C" w:rsidP="00510B2C">
      <w:pPr>
        <w:pStyle w:val="Default"/>
        <w:rPr>
          <w:sz w:val="20"/>
          <w:szCs w:val="20"/>
          <w:lang w:val="fr-CA"/>
        </w:rPr>
      </w:pPr>
      <w:r w:rsidRPr="00510B2C">
        <w:rPr>
          <w:sz w:val="20"/>
          <w:szCs w:val="20"/>
          <w:lang w:val="fr-CA"/>
        </w:rPr>
        <w:t>L’existence d’un conflit d’intérêts n’exclut pas nécessairement la participation de l’employé à la situation en cause. Toutefois, le conflit doit être officiellement déclaré par écrit et résolu avec le superviseur avant toute prise de décision ou action.</w:t>
      </w:r>
    </w:p>
    <w:p w14:paraId="4703F312" w14:textId="77777777" w:rsidR="00510B2C" w:rsidRPr="00510B2C" w:rsidRDefault="00510B2C" w:rsidP="00510B2C">
      <w:pPr>
        <w:pStyle w:val="Default"/>
        <w:rPr>
          <w:sz w:val="20"/>
          <w:szCs w:val="20"/>
          <w:lang w:val="fr-CA"/>
        </w:rPr>
      </w:pPr>
    </w:p>
    <w:p w14:paraId="7D90DFBD" w14:textId="77777777" w:rsidR="00510B2C" w:rsidRPr="00510B2C" w:rsidRDefault="00510B2C" w:rsidP="00510B2C">
      <w:pPr>
        <w:pStyle w:val="Default"/>
        <w:rPr>
          <w:sz w:val="20"/>
          <w:szCs w:val="20"/>
          <w:lang w:val="fr-CA"/>
        </w:rPr>
      </w:pPr>
      <w:r w:rsidRPr="00510B2C">
        <w:rPr>
          <w:sz w:val="20"/>
          <w:szCs w:val="20"/>
          <w:lang w:val="fr-CA"/>
        </w:rPr>
        <w:t>Dans certains cas, il peut être impossible d’exclure complètement l’employé. Des mesures devront alors être mises en place afin d’assurer la transparence et la responsabilité dans la prise de décisions (promotions, contrats, évaluations, structure hiérarchique, etc.) et de réduire les risques associés. Dans un contexte communautaire, il est essentiel de reconnaître l’importance des liens et de la confiance dans la gestion des conflits d’intérêts réels, potentiels ou perçus.</w:t>
      </w:r>
    </w:p>
    <w:p w14:paraId="7D7EC7C3" w14:textId="77777777" w:rsidR="00E7453A" w:rsidRDefault="00E7453A" w:rsidP="00E7453A">
      <w:pPr>
        <w:pStyle w:val="Default"/>
        <w:rPr>
          <w:rFonts w:cstheme="minorBidi"/>
          <w:color w:val="auto"/>
          <w:sz w:val="20"/>
          <w:szCs w:val="20"/>
        </w:rPr>
      </w:pPr>
    </w:p>
    <w:p w14:paraId="401A5A42" w14:textId="77777777" w:rsidR="00510B2C" w:rsidRDefault="00510B2C" w:rsidP="00E7453A">
      <w:pPr>
        <w:pStyle w:val="Default"/>
        <w:rPr>
          <w:rFonts w:cstheme="minorBidi"/>
          <w:color w:val="auto"/>
          <w:sz w:val="20"/>
          <w:szCs w:val="20"/>
        </w:rPr>
      </w:pPr>
    </w:p>
    <w:p w14:paraId="3F4C715E" w14:textId="77777777" w:rsidR="00510B2C" w:rsidRDefault="00510B2C" w:rsidP="00E7453A">
      <w:pPr>
        <w:pStyle w:val="Default"/>
        <w:rPr>
          <w:rFonts w:cstheme="minorBidi"/>
          <w:color w:val="auto"/>
          <w:sz w:val="20"/>
          <w:szCs w:val="20"/>
        </w:rPr>
      </w:pPr>
    </w:p>
    <w:p w14:paraId="6631D8B5" w14:textId="77777777" w:rsidR="00510B2C" w:rsidRDefault="00510B2C" w:rsidP="00E7453A">
      <w:pPr>
        <w:pStyle w:val="Default"/>
        <w:rPr>
          <w:rFonts w:cstheme="minorBidi"/>
          <w:color w:val="auto"/>
          <w:sz w:val="20"/>
          <w:szCs w:val="20"/>
        </w:rPr>
      </w:pPr>
    </w:p>
    <w:p w14:paraId="1CE2BBBC" w14:textId="77777777" w:rsidR="00510B2C" w:rsidRDefault="00510B2C" w:rsidP="00E7453A">
      <w:pPr>
        <w:pStyle w:val="Default"/>
        <w:rPr>
          <w:rFonts w:cstheme="minorBidi"/>
          <w:color w:val="auto"/>
          <w:sz w:val="20"/>
          <w:szCs w:val="20"/>
        </w:rPr>
      </w:pPr>
    </w:p>
    <w:p w14:paraId="1E206E28" w14:textId="1C5E3014" w:rsidR="00510B2C" w:rsidRPr="00510B2C" w:rsidRDefault="00510B2C" w:rsidP="00510B2C">
      <w:pPr>
        <w:pStyle w:val="Default"/>
        <w:rPr>
          <w:rFonts w:ascii="Times New Roman" w:hAnsi="Times New Roman" w:cs="Times New Roman"/>
          <w:bCs/>
          <w:color w:val="791013"/>
          <w:lang w:val="fr-CA"/>
        </w:rPr>
      </w:pPr>
      <w:r w:rsidRPr="00510B2C">
        <w:rPr>
          <w:rFonts w:ascii="Times New Roman" w:hAnsi="Times New Roman" w:cs="Times New Roman"/>
          <w:bCs/>
          <w:color w:val="791013"/>
          <w:lang w:val="fr-CA"/>
        </w:rPr>
        <w:lastRenderedPageBreak/>
        <w:t>EXEMPLES DE CONFLITS D’INTÉRÊTS</w:t>
      </w:r>
    </w:p>
    <w:p w14:paraId="38A0F098" w14:textId="77777777" w:rsidR="00E7453A" w:rsidRPr="00E7453A" w:rsidRDefault="00E7453A" w:rsidP="00510B2C">
      <w:pPr>
        <w:pStyle w:val="Default"/>
        <w:rPr>
          <w:rFonts w:cstheme="minorBidi"/>
          <w:color w:val="auto"/>
          <w:sz w:val="20"/>
          <w:szCs w:val="20"/>
        </w:rPr>
      </w:pPr>
    </w:p>
    <w:p w14:paraId="7F0C2119" w14:textId="77777777" w:rsidR="00510B2C" w:rsidRPr="00510B2C" w:rsidRDefault="00510B2C" w:rsidP="00510B2C">
      <w:pPr>
        <w:pStyle w:val="ListParagraph"/>
        <w:numPr>
          <w:ilvl w:val="0"/>
          <w:numId w:val="38"/>
        </w:numPr>
        <w:rPr>
          <w:rFonts w:ascii="Canva Sans" w:hAnsi="Canva Sans"/>
          <w:kern w:val="0"/>
          <w:sz w:val="20"/>
          <w:szCs w:val="20"/>
          <w:lang w:val="fr-CA"/>
        </w:rPr>
      </w:pPr>
      <w:r w:rsidRPr="00510B2C">
        <w:rPr>
          <w:rFonts w:ascii="Canva Sans" w:hAnsi="Canva Sans"/>
          <w:kern w:val="0"/>
          <w:sz w:val="20"/>
          <w:szCs w:val="20"/>
          <w:lang w:val="fr-CA"/>
        </w:rPr>
        <w:t>Conclure un contrat ou une entente avec un fournisseur dans lequel l’employé ou un membre de sa famille a un intérêt financier.</w:t>
      </w:r>
    </w:p>
    <w:p w14:paraId="0F5EB4CB" w14:textId="77777777" w:rsidR="00510B2C" w:rsidRPr="00510B2C" w:rsidRDefault="00510B2C" w:rsidP="00510B2C">
      <w:pPr>
        <w:pStyle w:val="ListParagraph"/>
        <w:numPr>
          <w:ilvl w:val="0"/>
          <w:numId w:val="38"/>
        </w:numPr>
        <w:rPr>
          <w:rFonts w:ascii="Canva Sans" w:hAnsi="Canva Sans"/>
          <w:kern w:val="0"/>
          <w:sz w:val="20"/>
          <w:szCs w:val="20"/>
          <w:lang w:val="fr-CA"/>
        </w:rPr>
      </w:pPr>
      <w:r w:rsidRPr="00510B2C">
        <w:rPr>
          <w:rFonts w:ascii="Canva Sans" w:hAnsi="Canva Sans"/>
          <w:kern w:val="0"/>
          <w:sz w:val="20"/>
          <w:szCs w:val="20"/>
          <w:lang w:val="fr-CA"/>
        </w:rPr>
        <w:t>Autoriser des dépenses auprès d’une entité dans laquelle l’employé ou un membre de sa famille a un intérêt.</w:t>
      </w:r>
    </w:p>
    <w:p w14:paraId="3F4A9B33" w14:textId="77777777" w:rsidR="00510B2C" w:rsidRPr="00510B2C" w:rsidRDefault="00510B2C" w:rsidP="00510B2C">
      <w:pPr>
        <w:pStyle w:val="ListParagraph"/>
        <w:numPr>
          <w:ilvl w:val="0"/>
          <w:numId w:val="38"/>
        </w:numPr>
        <w:rPr>
          <w:rFonts w:ascii="Canva Sans" w:hAnsi="Canva Sans"/>
          <w:kern w:val="0"/>
          <w:sz w:val="20"/>
          <w:szCs w:val="20"/>
          <w:lang w:val="fr-CA"/>
        </w:rPr>
      </w:pPr>
      <w:r w:rsidRPr="00510B2C">
        <w:rPr>
          <w:rFonts w:ascii="Canva Sans" w:hAnsi="Canva Sans"/>
          <w:kern w:val="0"/>
          <w:sz w:val="20"/>
          <w:szCs w:val="20"/>
          <w:lang w:val="fr-CA"/>
        </w:rPr>
        <w:t>Accepter des cadeaux, avantages ou faveurs de personnes ou d’organisations avec lesquelles l’employeur fait affaire, sauf les marques de courtoisie mineures (inférieur à VALEUR$). De plus, les offres fréquentes de cadeaux, de services ou de divertissement, peu importe leur valeur, provenant d’un même fournisseur doivent être divulguées et discutées avec la direction.</w:t>
      </w:r>
    </w:p>
    <w:p w14:paraId="2C30C9FF" w14:textId="77777777" w:rsidR="00510B2C" w:rsidRPr="00510B2C" w:rsidRDefault="00510B2C" w:rsidP="00510B2C">
      <w:pPr>
        <w:pStyle w:val="ListParagraph"/>
        <w:numPr>
          <w:ilvl w:val="0"/>
          <w:numId w:val="38"/>
        </w:numPr>
        <w:rPr>
          <w:rFonts w:ascii="Canva Sans" w:hAnsi="Canva Sans"/>
          <w:kern w:val="0"/>
          <w:sz w:val="20"/>
          <w:szCs w:val="20"/>
          <w:lang w:val="fr-CA"/>
        </w:rPr>
      </w:pPr>
      <w:r w:rsidRPr="00510B2C">
        <w:rPr>
          <w:rFonts w:ascii="Canva Sans" w:hAnsi="Canva Sans"/>
          <w:kern w:val="0"/>
          <w:sz w:val="20"/>
          <w:szCs w:val="20"/>
          <w:lang w:val="fr-CA"/>
        </w:rPr>
        <w:t>Participer à des activités professionnelles avec un client avec lequel l’employé a un intérêt personnel ou financier.</w:t>
      </w:r>
    </w:p>
    <w:p w14:paraId="66C206A3" w14:textId="77777777" w:rsidR="00510B2C" w:rsidRPr="00510B2C" w:rsidRDefault="00510B2C" w:rsidP="00510B2C">
      <w:pPr>
        <w:pStyle w:val="ListParagraph"/>
        <w:numPr>
          <w:ilvl w:val="0"/>
          <w:numId w:val="38"/>
        </w:numPr>
        <w:rPr>
          <w:rFonts w:ascii="Canva Sans" w:hAnsi="Canva Sans"/>
          <w:kern w:val="0"/>
          <w:sz w:val="20"/>
          <w:szCs w:val="20"/>
          <w:lang w:val="fr-CA"/>
        </w:rPr>
      </w:pPr>
      <w:r w:rsidRPr="00510B2C">
        <w:rPr>
          <w:rFonts w:ascii="Canva Sans" w:hAnsi="Canva Sans"/>
          <w:kern w:val="0"/>
          <w:sz w:val="20"/>
          <w:szCs w:val="20"/>
          <w:lang w:val="fr-CA"/>
        </w:rPr>
        <w:t>Exercer un emploi externe qui nuit à ses responsabilités.</w:t>
      </w:r>
    </w:p>
    <w:p w14:paraId="60D2298D" w14:textId="4182005B" w:rsidR="00E7453A" w:rsidRPr="00510B2C" w:rsidRDefault="00510B2C" w:rsidP="00510B2C">
      <w:pPr>
        <w:pStyle w:val="ListParagraph"/>
        <w:numPr>
          <w:ilvl w:val="0"/>
          <w:numId w:val="38"/>
        </w:numPr>
        <w:rPr>
          <w:rFonts w:ascii="Canva Sans" w:hAnsi="Canva Sans"/>
          <w:kern w:val="0"/>
          <w:sz w:val="20"/>
          <w:szCs w:val="20"/>
          <w:lang w:val="fr-CA"/>
        </w:rPr>
      </w:pPr>
      <w:r w:rsidRPr="00510B2C">
        <w:rPr>
          <w:rFonts w:ascii="Canva Sans" w:hAnsi="Canva Sans"/>
          <w:kern w:val="0"/>
          <w:sz w:val="20"/>
          <w:szCs w:val="20"/>
          <w:lang w:val="fr-CA"/>
        </w:rPr>
        <w:t>Participer au recrutement pour un poste auquel un membre de votre famille (ex. : enfant) est qualifié et susceptible de poser sa candidature.</w:t>
      </w:r>
    </w:p>
    <w:p w14:paraId="1A14AE2C" w14:textId="77777777" w:rsidR="00510B2C" w:rsidRDefault="00510B2C" w:rsidP="00E7453A">
      <w:pPr>
        <w:pStyle w:val="Default"/>
        <w:rPr>
          <w:rFonts w:ascii="Times New Roman" w:hAnsi="Times New Roman" w:cs="Times New Roman"/>
          <w:color w:val="791013"/>
          <w:lang w:val="fr-CA"/>
        </w:rPr>
      </w:pPr>
    </w:p>
    <w:p w14:paraId="53D656F0" w14:textId="1A8C7943" w:rsidR="00E7453A" w:rsidRPr="00510B2C" w:rsidRDefault="00510B2C" w:rsidP="00E7453A">
      <w:pPr>
        <w:pStyle w:val="Default"/>
        <w:rPr>
          <w:rFonts w:ascii="Times New Roman" w:hAnsi="Times New Roman" w:cs="Times New Roman"/>
          <w:color w:val="791013"/>
          <w:lang w:val="fr-CA"/>
        </w:rPr>
      </w:pPr>
      <w:r w:rsidRPr="00510B2C">
        <w:rPr>
          <w:rFonts w:ascii="Times New Roman" w:hAnsi="Times New Roman" w:cs="Times New Roman"/>
          <w:color w:val="791013"/>
          <w:lang w:val="fr-CA"/>
        </w:rPr>
        <w:t>PROCÉDURE</w:t>
      </w:r>
    </w:p>
    <w:p w14:paraId="51CCA5C3" w14:textId="77777777" w:rsidR="00510B2C" w:rsidRPr="00510B2C" w:rsidRDefault="00510B2C" w:rsidP="00E7453A">
      <w:pPr>
        <w:pStyle w:val="Default"/>
        <w:rPr>
          <w:rFonts w:ascii="Times New Roman" w:hAnsi="Times New Roman" w:cs="Times New Roman"/>
          <w:bCs/>
          <w:color w:val="791013"/>
          <w:lang w:val="fr-CA"/>
        </w:rPr>
      </w:pPr>
    </w:p>
    <w:p w14:paraId="5A835778" w14:textId="6BEE00AA" w:rsidR="00FB635F" w:rsidRPr="00510B2C" w:rsidRDefault="00510B2C" w:rsidP="00510B2C">
      <w:pPr>
        <w:pStyle w:val="ListParagraph"/>
        <w:numPr>
          <w:ilvl w:val="0"/>
          <w:numId w:val="37"/>
        </w:numPr>
        <w:autoSpaceDE w:val="0"/>
        <w:autoSpaceDN w:val="0"/>
        <w:adjustRightInd w:val="0"/>
        <w:spacing w:after="0" w:line="240" w:lineRule="auto"/>
        <w:rPr>
          <w:rFonts w:ascii="0Ñ‹&amp;" w:hAnsi="0Ñ‹&amp;" w:cs="0Ñ‹&amp;"/>
          <w:b/>
          <w:bCs/>
          <w:color w:val="000000"/>
          <w:kern w:val="0"/>
          <w:sz w:val="20"/>
          <w:szCs w:val="20"/>
          <w:lang w:val="fr-CA"/>
        </w:rPr>
      </w:pPr>
      <w:r w:rsidRPr="00510B2C">
        <w:rPr>
          <w:rFonts w:ascii="0Ñ‹&amp;" w:hAnsi="0Ñ‹&amp;" w:cs="0Ñ‹&amp;"/>
          <w:color w:val="000000"/>
          <w:kern w:val="0"/>
          <w:sz w:val="20"/>
          <w:szCs w:val="20"/>
          <w:lang w:val="fr-CA"/>
        </w:rPr>
        <w:t xml:space="preserve">L’employé doit signaler tout conflit réel, potentiel ou perçu à la direction dès qu’il peut raisonnablement croire qu’un conflit pourrait exister. L’objectif n’est pas de pénaliser l’employé ni de le placer en situation de représailles, mais plutôt d’identifier et d’atténuer les situations où un conflit d’intérêts pourrait nuire — ou être perçu comme nuisant — aux intérêts de l’organisation. </w:t>
      </w:r>
      <w:r w:rsidRPr="00510B2C">
        <w:rPr>
          <w:rFonts w:ascii="0Ñ‹&amp;" w:hAnsi="0Ñ‹&amp;" w:cs="0Ñ‹&amp;"/>
          <w:b/>
          <w:bCs/>
          <w:color w:val="000000"/>
          <w:kern w:val="0"/>
          <w:sz w:val="20"/>
          <w:szCs w:val="20"/>
          <w:lang w:val="fr-CA"/>
        </w:rPr>
        <w:t>La divulgation doit être faite par écrit et inclure les éléments suivants :</w:t>
      </w:r>
    </w:p>
    <w:p w14:paraId="1E2521A5" w14:textId="77777777" w:rsidR="00510B2C" w:rsidRPr="00510B2C" w:rsidRDefault="00510B2C" w:rsidP="00510B2C">
      <w:pPr>
        <w:spacing w:after="0" w:line="240" w:lineRule="auto"/>
        <w:ind w:left="720" w:firstLine="720"/>
        <w:jc w:val="both"/>
        <w:rPr>
          <w:rFonts w:ascii="0Ñ‹&amp;" w:hAnsi="0Ñ‹&amp;" w:cs="0Ñ‹&amp;"/>
          <w:color w:val="000000"/>
          <w:kern w:val="0"/>
          <w:sz w:val="20"/>
          <w:szCs w:val="20"/>
          <w:lang w:val="fr-CA"/>
        </w:rPr>
      </w:pPr>
      <w:r w:rsidRPr="00510B2C">
        <w:rPr>
          <w:rFonts w:ascii="0Ñ‹&amp;" w:hAnsi="0Ñ‹&amp;" w:cs="0Ñ‹&amp;"/>
          <w:color w:val="000000"/>
          <w:kern w:val="0"/>
          <w:sz w:val="20"/>
          <w:szCs w:val="20"/>
          <w:lang w:val="fr-CA"/>
        </w:rPr>
        <w:t>a. Renseignements sur l’employé (nom, coordonnées, date)</w:t>
      </w:r>
    </w:p>
    <w:p w14:paraId="118868C6" w14:textId="77777777" w:rsidR="00510B2C" w:rsidRPr="00510B2C" w:rsidRDefault="00510B2C" w:rsidP="00510B2C">
      <w:pPr>
        <w:spacing w:after="0" w:line="240" w:lineRule="auto"/>
        <w:ind w:left="720" w:firstLine="720"/>
        <w:jc w:val="both"/>
        <w:rPr>
          <w:rFonts w:ascii="0Ñ‹&amp;" w:hAnsi="0Ñ‹&amp;" w:cs="0Ñ‹&amp;"/>
          <w:color w:val="000000"/>
          <w:kern w:val="0"/>
          <w:sz w:val="20"/>
          <w:szCs w:val="20"/>
          <w:lang w:val="fr-CA"/>
        </w:rPr>
      </w:pPr>
      <w:r w:rsidRPr="00510B2C">
        <w:rPr>
          <w:rFonts w:ascii="0Ñ‹&amp;" w:hAnsi="0Ñ‹&amp;" w:cs="0Ñ‹&amp;"/>
          <w:color w:val="000000"/>
          <w:kern w:val="0"/>
          <w:sz w:val="20"/>
          <w:szCs w:val="20"/>
          <w:lang w:val="fr-CA"/>
        </w:rPr>
        <w:t>b. Type de conflit d’intérêts déclaré (réel, potentiel ou perçu)</w:t>
      </w:r>
    </w:p>
    <w:p w14:paraId="39281F64" w14:textId="77777777" w:rsidR="00510B2C" w:rsidRPr="00510B2C" w:rsidRDefault="00510B2C" w:rsidP="00510B2C">
      <w:pPr>
        <w:spacing w:after="0" w:line="240" w:lineRule="auto"/>
        <w:ind w:left="720" w:firstLine="720"/>
        <w:jc w:val="both"/>
        <w:rPr>
          <w:rFonts w:ascii="0Ñ‹&amp;" w:hAnsi="0Ñ‹&amp;" w:cs="0Ñ‹&amp;"/>
          <w:color w:val="000000"/>
          <w:kern w:val="0"/>
          <w:sz w:val="20"/>
          <w:szCs w:val="20"/>
          <w:lang w:val="fr-CA"/>
        </w:rPr>
      </w:pPr>
      <w:r w:rsidRPr="00510B2C">
        <w:rPr>
          <w:rFonts w:ascii="0Ñ‹&amp;" w:hAnsi="0Ñ‹&amp;" w:cs="0Ñ‹&amp;"/>
          <w:color w:val="000000"/>
          <w:kern w:val="0"/>
          <w:sz w:val="20"/>
          <w:szCs w:val="20"/>
          <w:lang w:val="fr-CA"/>
        </w:rPr>
        <w:t>c. Description du conflit d’intérêts</w:t>
      </w:r>
    </w:p>
    <w:p w14:paraId="5349004A" w14:textId="77777777" w:rsidR="00510B2C" w:rsidRPr="00510B2C" w:rsidRDefault="00510B2C" w:rsidP="00510B2C">
      <w:pPr>
        <w:spacing w:after="0" w:line="240" w:lineRule="auto"/>
        <w:ind w:left="1440"/>
        <w:jc w:val="both"/>
        <w:rPr>
          <w:rFonts w:ascii="0Ñ‹&amp;" w:hAnsi="0Ñ‹&amp;" w:cs="0Ñ‹&amp;"/>
          <w:color w:val="000000"/>
          <w:kern w:val="0"/>
          <w:sz w:val="20"/>
          <w:szCs w:val="20"/>
          <w:lang w:val="fr-CA"/>
        </w:rPr>
      </w:pPr>
      <w:r w:rsidRPr="00510B2C">
        <w:rPr>
          <w:rFonts w:ascii="0Ñ‹&amp;" w:hAnsi="0Ñ‹&amp;" w:cs="0Ñ‹&amp;"/>
          <w:color w:val="000000"/>
          <w:kern w:val="0"/>
          <w:sz w:val="20"/>
          <w:szCs w:val="20"/>
          <w:lang w:val="fr-CA"/>
        </w:rPr>
        <w:t>d. Évaluation du risque pour [Nom de l’employeur] (pouvant être financier, risque de réputation ou autre, évalué sur une échelle de 1 à 3; 1 représentant un faible risque et 3 un risque élevé)</w:t>
      </w:r>
    </w:p>
    <w:p w14:paraId="329D033B" w14:textId="77777777" w:rsidR="00510B2C" w:rsidRPr="00510B2C" w:rsidRDefault="00510B2C" w:rsidP="00510B2C">
      <w:pPr>
        <w:spacing w:after="0" w:line="240" w:lineRule="auto"/>
        <w:ind w:left="720" w:firstLine="720"/>
        <w:jc w:val="both"/>
        <w:rPr>
          <w:rFonts w:ascii="0Ñ‹&amp;" w:hAnsi="0Ñ‹&amp;" w:cs="0Ñ‹&amp;"/>
          <w:color w:val="000000"/>
          <w:kern w:val="0"/>
          <w:sz w:val="20"/>
          <w:szCs w:val="20"/>
          <w:lang w:val="fr-CA"/>
        </w:rPr>
      </w:pPr>
      <w:r w:rsidRPr="00510B2C">
        <w:rPr>
          <w:rFonts w:ascii="0Ñ‹&amp;" w:hAnsi="0Ñ‹&amp;" w:cs="0Ñ‹&amp;"/>
          <w:color w:val="000000"/>
          <w:kern w:val="0"/>
          <w:sz w:val="20"/>
          <w:szCs w:val="20"/>
          <w:lang w:val="fr-CA"/>
        </w:rPr>
        <w:t>e. Solutions possibles pour éliminer ou atténuer le risque, à discuter avec la direction</w:t>
      </w:r>
    </w:p>
    <w:p w14:paraId="5F63406B" w14:textId="0945628C" w:rsidR="00FB635F" w:rsidRPr="00510B2C" w:rsidRDefault="00510B2C" w:rsidP="00510B2C">
      <w:pPr>
        <w:pStyle w:val="ListParagraph"/>
        <w:numPr>
          <w:ilvl w:val="0"/>
          <w:numId w:val="37"/>
        </w:numPr>
        <w:autoSpaceDE w:val="0"/>
        <w:autoSpaceDN w:val="0"/>
        <w:adjustRightInd w:val="0"/>
        <w:spacing w:after="0" w:line="240" w:lineRule="auto"/>
        <w:rPr>
          <w:rFonts w:ascii="0Ñ‹&amp;" w:hAnsi="0Ñ‹&amp;" w:cs="0Ñ‹&amp;"/>
          <w:color w:val="000000"/>
          <w:kern w:val="0"/>
          <w:sz w:val="20"/>
          <w:szCs w:val="20"/>
          <w:lang w:val="fr-CA"/>
        </w:rPr>
      </w:pPr>
      <w:r w:rsidRPr="00510B2C">
        <w:rPr>
          <w:rFonts w:ascii="0Ñ‹&amp;" w:hAnsi="0Ñ‹&amp;" w:cs="0Ñ‹&amp;"/>
          <w:color w:val="000000"/>
          <w:kern w:val="0"/>
          <w:sz w:val="20"/>
          <w:szCs w:val="20"/>
          <w:lang w:val="fr-CA"/>
        </w:rPr>
        <w:t>À la réception de cet avis, la direction examinera les détails du conflit d’intérêts et planifiera une rencontre avec l’employé afin de discuter des risques et des solutions possibles. Le résultat de cette rencontre devra être documenté et conservé par [Titre du poste; p. ex. directeur général, chef de la direction, chef, etc.].</w:t>
      </w:r>
    </w:p>
    <w:p w14:paraId="1A9F7426" w14:textId="77777777" w:rsidR="00FB635F" w:rsidRPr="00FB635F" w:rsidRDefault="00FB635F" w:rsidP="00FB635F">
      <w:pPr>
        <w:autoSpaceDE w:val="0"/>
        <w:autoSpaceDN w:val="0"/>
        <w:adjustRightInd w:val="0"/>
        <w:spacing w:after="0" w:line="240" w:lineRule="auto"/>
        <w:rPr>
          <w:rFonts w:ascii="0Ñ‹&amp;" w:hAnsi="0Ñ‹&amp;" w:cs="0Ñ‹&amp;"/>
          <w:color w:val="000000"/>
          <w:kern w:val="0"/>
          <w:sz w:val="20"/>
          <w:szCs w:val="20"/>
          <w:lang w:val="en-US"/>
        </w:rPr>
      </w:pPr>
    </w:p>
    <w:p w14:paraId="5F314F04" w14:textId="68E807C0" w:rsidR="00FB635F" w:rsidRPr="00510B2C" w:rsidRDefault="00510B2C" w:rsidP="00510B2C">
      <w:pPr>
        <w:autoSpaceDE w:val="0"/>
        <w:autoSpaceDN w:val="0"/>
        <w:adjustRightInd w:val="0"/>
        <w:spacing w:after="0" w:line="240" w:lineRule="auto"/>
        <w:rPr>
          <w:rFonts w:ascii="0Ñ‹&amp;" w:hAnsi="0Ñ‹&amp;" w:cs="0Ñ‹&amp;"/>
          <w:i/>
          <w:iCs/>
          <w:color w:val="53060B"/>
          <w:kern w:val="0"/>
          <w:sz w:val="18"/>
          <w:szCs w:val="18"/>
          <w:lang w:val="fr-CA"/>
        </w:rPr>
      </w:pPr>
      <w:r w:rsidRPr="00510B2C">
        <w:rPr>
          <w:rFonts w:ascii="0Ñ‹&amp;" w:hAnsi="0Ñ‹&amp;" w:cs="0Ñ‹&amp;"/>
          <w:i/>
          <w:iCs/>
          <w:color w:val="53060B"/>
          <w:kern w:val="0"/>
          <w:sz w:val="18"/>
          <w:szCs w:val="18"/>
          <w:lang w:val="fr-CA"/>
        </w:rPr>
        <w:t>Dans un contexte communautaire, les décisions liées aux conflits d’intérêts peuvent impliquer le respect de protocoles impliquant des Aînés, des leaders communautaires ou des conseillers spirituels. Les situations en milieu de travail devraient être abordées avec sensibilité culturelle et dans le respect de ces protocoles. Si votre organisation prévoit des considérations spécifiques à intégrer dans cette politique, celles-ci doivent être décrites explicitement comme des étapes supplémentaires de la procédure.</w:t>
      </w:r>
    </w:p>
    <w:sectPr w:rsidR="00FB635F" w:rsidRPr="00510B2C" w:rsidSect="00E7453A">
      <w:headerReference w:type="default" r:id="rId8"/>
      <w:footerReference w:type="even" r:id="rId9"/>
      <w:footerReference w:type="default" r:id="rId10"/>
      <w:pgSz w:w="12240" w:h="15840"/>
      <w:pgMar w:top="2784" w:right="1440" w:bottom="1442" w:left="1440"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529E82" w14:textId="77777777" w:rsidR="004A6A93" w:rsidRDefault="004A6A93" w:rsidP="00B452D9">
      <w:pPr>
        <w:spacing w:after="0" w:line="240" w:lineRule="auto"/>
      </w:pPr>
      <w:r>
        <w:separator/>
      </w:r>
    </w:p>
  </w:endnote>
  <w:endnote w:type="continuationSeparator" w:id="0">
    <w:p w14:paraId="7E0646D3" w14:textId="77777777" w:rsidR="004A6A93" w:rsidRDefault="004A6A93" w:rsidP="00B452D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Canva Sans">
    <w:panose1 w:val="020B0503030501040103"/>
    <w:charset w:val="00"/>
    <w:family w:val="swiss"/>
    <w:pitch w:val="variable"/>
    <w:sig w:usb0="00000043" w:usb1="00000021" w:usb2="00000000" w:usb3="00000000" w:csb0="00000001" w:csb1="00000000"/>
  </w:font>
  <w:font w:name="0Ñ‹&amp;">
    <w:altName w:val="Calibri"/>
    <w:panose1 w:val="020B0604020202020204"/>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501998755"/>
      <w:docPartObj>
        <w:docPartGallery w:val="Page Numbers (Bottom of Page)"/>
        <w:docPartUnique/>
      </w:docPartObj>
    </w:sdtPr>
    <w:sdtContent>
      <w:p w14:paraId="20657CE2" w14:textId="4751EB78" w:rsidR="003245CE" w:rsidRDefault="003245CE" w:rsidP="00DF063E">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fldChar w:fldCharType="end"/>
        </w:r>
      </w:p>
    </w:sdtContent>
  </w:sdt>
  <w:p w14:paraId="01292F18" w14:textId="77777777" w:rsidR="003245CE" w:rsidRDefault="003245C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61792D" w14:textId="4FD578F0" w:rsidR="00765C66" w:rsidRPr="00765C66" w:rsidRDefault="00765C66" w:rsidP="00765C66">
    <w:pPr>
      <w:autoSpaceDE w:val="0"/>
      <w:autoSpaceDN w:val="0"/>
      <w:adjustRightInd w:val="0"/>
      <w:spacing w:after="0" w:line="240" w:lineRule="auto"/>
      <w:rPr>
        <w:rFonts w:ascii="Times New Roman" w:hAnsi="Times New Roman" w:cs="Times New Roman"/>
        <w:color w:val="000000"/>
        <w:kern w:val="0"/>
        <w:lang w:val="en-US"/>
      </w:rPr>
    </w:pPr>
    <w:r w:rsidRPr="00765C66">
      <w:rPr>
        <w:b/>
        <w:bCs/>
        <w:noProof/>
      </w:rPr>
      <w:drawing>
        <wp:anchor distT="0" distB="0" distL="114300" distR="114300" simplePos="0" relativeHeight="251659264" behindDoc="1" locked="0" layoutInCell="1" allowOverlap="1" wp14:anchorId="444E6B93" wp14:editId="73CA7DA3">
          <wp:simplePos x="0" y="0"/>
          <wp:positionH relativeFrom="column">
            <wp:posOffset>-17468</wp:posOffset>
          </wp:positionH>
          <wp:positionV relativeFrom="paragraph">
            <wp:posOffset>80253</wp:posOffset>
          </wp:positionV>
          <wp:extent cx="1470306" cy="431800"/>
          <wp:effectExtent l="0" t="0" r="0" b="0"/>
          <wp:wrapNone/>
          <wp:docPr id="5467090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709075"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1470306" cy="431800"/>
                  </a:xfrm>
                  <a:prstGeom prst="rect">
                    <a:avLst/>
                  </a:prstGeom>
                </pic:spPr>
              </pic:pic>
            </a:graphicData>
          </a:graphic>
          <wp14:sizeRelH relativeFrom="page">
            <wp14:pctWidth>0</wp14:pctWidth>
          </wp14:sizeRelH>
          <wp14:sizeRelV relativeFrom="page">
            <wp14:pctHeight>0</wp14:pctHeight>
          </wp14:sizeRelV>
        </wp:anchor>
      </w:drawing>
    </w:r>
  </w:p>
  <w:sdt>
    <w:sdtPr>
      <w:rPr>
        <w:rStyle w:val="PageNumber"/>
        <w:b/>
        <w:bCs/>
        <w:sz w:val="20"/>
        <w:szCs w:val="20"/>
      </w:rPr>
      <w:id w:val="2008097831"/>
      <w:docPartObj>
        <w:docPartGallery w:val="Page Numbers (Bottom of Page)"/>
        <w:docPartUnique/>
      </w:docPartObj>
    </w:sdtPr>
    <w:sdtContent>
      <w:p w14:paraId="05DF6F5C" w14:textId="77777777" w:rsidR="003245CE" w:rsidRPr="003245CE" w:rsidRDefault="003245CE" w:rsidP="003245CE">
        <w:pPr>
          <w:pStyle w:val="Footer"/>
          <w:framePr w:wrap="none" w:vAnchor="text" w:hAnchor="page" w:x="6061" w:y="27"/>
          <w:rPr>
            <w:rStyle w:val="PageNumber"/>
            <w:b/>
            <w:bCs/>
            <w:sz w:val="20"/>
            <w:szCs w:val="20"/>
          </w:rPr>
        </w:pPr>
        <w:r w:rsidRPr="003245CE">
          <w:rPr>
            <w:rStyle w:val="PageNumber"/>
            <w:b/>
            <w:bCs/>
            <w:sz w:val="20"/>
            <w:szCs w:val="20"/>
          </w:rPr>
          <w:fldChar w:fldCharType="begin"/>
        </w:r>
        <w:r w:rsidRPr="003245CE">
          <w:rPr>
            <w:rStyle w:val="PageNumber"/>
            <w:b/>
            <w:bCs/>
            <w:sz w:val="20"/>
            <w:szCs w:val="20"/>
          </w:rPr>
          <w:instrText xml:space="preserve"> PAGE </w:instrText>
        </w:r>
        <w:r w:rsidRPr="003245CE">
          <w:rPr>
            <w:rStyle w:val="PageNumber"/>
            <w:b/>
            <w:bCs/>
            <w:sz w:val="20"/>
            <w:szCs w:val="20"/>
          </w:rPr>
          <w:fldChar w:fldCharType="separate"/>
        </w:r>
        <w:r w:rsidRPr="003245CE">
          <w:rPr>
            <w:rStyle w:val="PageNumber"/>
            <w:b/>
            <w:bCs/>
            <w:noProof/>
            <w:sz w:val="20"/>
            <w:szCs w:val="20"/>
          </w:rPr>
          <w:t>1</w:t>
        </w:r>
        <w:r w:rsidRPr="003245CE">
          <w:rPr>
            <w:rStyle w:val="PageNumber"/>
            <w:b/>
            <w:bCs/>
            <w:sz w:val="20"/>
            <w:szCs w:val="20"/>
          </w:rPr>
          <w:fldChar w:fldCharType="end"/>
        </w:r>
      </w:p>
    </w:sdtContent>
  </w:sdt>
  <w:p w14:paraId="23A2C7EB" w14:textId="26ACD789" w:rsidR="00765C66" w:rsidRPr="00765C66" w:rsidRDefault="00765C66" w:rsidP="00765C66">
    <w:pPr>
      <w:pStyle w:val="Footer"/>
      <w:jc w:val="right"/>
      <w:rPr>
        <w:b/>
        <w:bCs/>
      </w:rPr>
    </w:pPr>
    <w:r w:rsidRPr="00765C66">
      <w:rPr>
        <w:rFonts w:ascii="Times New Roman" w:hAnsi="Times New Roman" w:cs="Times New Roman"/>
        <w:b/>
        <w:bCs/>
        <w:kern w:val="0"/>
        <w:lang w:val="en-US"/>
      </w:rPr>
      <w:t>AFOA.CA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2F7E39" w14:textId="77777777" w:rsidR="004A6A93" w:rsidRDefault="004A6A93" w:rsidP="00B452D9">
      <w:pPr>
        <w:spacing w:after="0" w:line="240" w:lineRule="auto"/>
      </w:pPr>
      <w:r>
        <w:separator/>
      </w:r>
    </w:p>
  </w:footnote>
  <w:footnote w:type="continuationSeparator" w:id="0">
    <w:p w14:paraId="01F52FB3" w14:textId="77777777" w:rsidR="004A6A93" w:rsidRDefault="004A6A93" w:rsidP="00B452D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9CAB3F" w14:textId="01378B4D" w:rsidR="00B452D9" w:rsidRDefault="00B452D9">
    <w:pPr>
      <w:pStyle w:val="Header"/>
    </w:pPr>
    <w:r>
      <w:rPr>
        <w:noProof/>
      </w:rPr>
      <w:drawing>
        <wp:anchor distT="0" distB="0" distL="114300" distR="114300" simplePos="0" relativeHeight="251658240" behindDoc="1" locked="0" layoutInCell="1" allowOverlap="1" wp14:anchorId="4AE7CA3C" wp14:editId="26314E19">
          <wp:simplePos x="0" y="0"/>
          <wp:positionH relativeFrom="column">
            <wp:posOffset>-929640</wp:posOffset>
          </wp:positionH>
          <wp:positionV relativeFrom="paragraph">
            <wp:posOffset>-443121</wp:posOffset>
          </wp:positionV>
          <wp:extent cx="7772400" cy="1874926"/>
          <wp:effectExtent l="0" t="0" r="0" b="5080"/>
          <wp:wrapNone/>
          <wp:docPr id="780469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46927" name="Picture 78046927"/>
                  <pic:cNvPicPr/>
                </pic:nvPicPr>
                <pic:blipFill rotWithShape="1">
                  <a:blip r:embed="rId1"/>
                  <a:srcRect b="81359"/>
                  <a:stretch>
                    <a:fillRect/>
                  </a:stretch>
                </pic:blipFill>
                <pic:spPr bwMode="auto">
                  <a:xfrm>
                    <a:off x="0" y="0"/>
                    <a:ext cx="7772400" cy="187492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54D99"/>
    <w:multiLevelType w:val="hybridMultilevel"/>
    <w:tmpl w:val="7D989C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B76D0A"/>
    <w:multiLevelType w:val="hybridMultilevel"/>
    <w:tmpl w:val="CAE412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4F6F81"/>
    <w:multiLevelType w:val="hybridMultilevel"/>
    <w:tmpl w:val="81644C36"/>
    <w:lvl w:ilvl="0" w:tplc="0409000F">
      <w:start w:val="1"/>
      <w:numFmt w:val="decimal"/>
      <w:lvlText w:val="%1."/>
      <w:lvlJc w:val="left"/>
      <w:pPr>
        <w:ind w:left="720" w:hanging="360"/>
      </w:pPr>
    </w:lvl>
    <w:lvl w:ilvl="1" w:tplc="0F660700">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107485"/>
    <w:multiLevelType w:val="hybridMultilevel"/>
    <w:tmpl w:val="DF5C90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3D2A8E"/>
    <w:multiLevelType w:val="hybridMultilevel"/>
    <w:tmpl w:val="942277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4E29C9"/>
    <w:multiLevelType w:val="hybridMultilevel"/>
    <w:tmpl w:val="AA8C4570"/>
    <w:lvl w:ilvl="0" w:tplc="5AACEF76">
      <w:start w:val="1"/>
      <w:numFmt w:val="decimal"/>
      <w:lvlText w:val="%1."/>
      <w:lvlJc w:val="left"/>
      <w:pPr>
        <w:ind w:left="720" w:hanging="360"/>
      </w:pPr>
      <w:rPr>
        <w:b w:val="0"/>
        <w:bCs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9995945"/>
    <w:multiLevelType w:val="hybridMultilevel"/>
    <w:tmpl w:val="CB284D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B17164"/>
    <w:multiLevelType w:val="hybridMultilevel"/>
    <w:tmpl w:val="8F0058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9CE5BF2"/>
    <w:multiLevelType w:val="hybridMultilevel"/>
    <w:tmpl w:val="54FCA0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B39360A"/>
    <w:multiLevelType w:val="hybridMultilevel"/>
    <w:tmpl w:val="95C2A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ECA7E27"/>
    <w:multiLevelType w:val="hybridMultilevel"/>
    <w:tmpl w:val="D9E4C3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824F2E"/>
    <w:multiLevelType w:val="hybridMultilevel"/>
    <w:tmpl w:val="AFDC01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7A061E"/>
    <w:multiLevelType w:val="hybridMultilevel"/>
    <w:tmpl w:val="CF00F1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2FE18B3"/>
    <w:multiLevelType w:val="hybridMultilevel"/>
    <w:tmpl w:val="862480A0"/>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 w15:restartNumberingAfterBreak="0">
    <w:nsid w:val="29CD54F7"/>
    <w:multiLevelType w:val="hybridMultilevel"/>
    <w:tmpl w:val="C37603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48F0C18"/>
    <w:multiLevelType w:val="hybridMultilevel"/>
    <w:tmpl w:val="5A641D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51A5AF2"/>
    <w:multiLevelType w:val="hybridMultilevel"/>
    <w:tmpl w:val="E1EA8878"/>
    <w:lvl w:ilvl="0" w:tplc="CCD6ABAE">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3ACC51FE"/>
    <w:multiLevelType w:val="hybridMultilevel"/>
    <w:tmpl w:val="934E86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5D54E95"/>
    <w:multiLevelType w:val="hybridMultilevel"/>
    <w:tmpl w:val="1A00E6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6F142D8"/>
    <w:multiLevelType w:val="hybridMultilevel"/>
    <w:tmpl w:val="3D3A48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AB13767"/>
    <w:multiLevelType w:val="hybridMultilevel"/>
    <w:tmpl w:val="72FA4E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C092816"/>
    <w:multiLevelType w:val="hybridMultilevel"/>
    <w:tmpl w:val="0BE6C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21A729F"/>
    <w:multiLevelType w:val="hybridMultilevel"/>
    <w:tmpl w:val="16B8F9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31523D5"/>
    <w:multiLevelType w:val="hybridMultilevel"/>
    <w:tmpl w:val="994CA7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50E324A"/>
    <w:multiLevelType w:val="hybridMultilevel"/>
    <w:tmpl w:val="D99832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5B67054"/>
    <w:multiLevelType w:val="hybridMultilevel"/>
    <w:tmpl w:val="1A0C8D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733167F"/>
    <w:multiLevelType w:val="hybridMultilevel"/>
    <w:tmpl w:val="566CDC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15C51DB"/>
    <w:multiLevelType w:val="hybridMultilevel"/>
    <w:tmpl w:val="2960C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2BA3AF5"/>
    <w:multiLevelType w:val="hybridMultilevel"/>
    <w:tmpl w:val="258CB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45E2D30"/>
    <w:multiLevelType w:val="hybridMultilevel"/>
    <w:tmpl w:val="7AB613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AA45CC3"/>
    <w:multiLevelType w:val="hybridMultilevel"/>
    <w:tmpl w:val="F5CE6F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21E286F"/>
    <w:multiLevelType w:val="hybridMultilevel"/>
    <w:tmpl w:val="BA7E12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2882691"/>
    <w:multiLevelType w:val="hybridMultilevel"/>
    <w:tmpl w:val="17EC25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4E96853"/>
    <w:multiLevelType w:val="hybridMultilevel"/>
    <w:tmpl w:val="1062E3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62E22C1"/>
    <w:multiLevelType w:val="hybridMultilevel"/>
    <w:tmpl w:val="825A425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15:restartNumberingAfterBreak="0">
    <w:nsid w:val="77942F3B"/>
    <w:multiLevelType w:val="hybridMultilevel"/>
    <w:tmpl w:val="DF30D034"/>
    <w:lvl w:ilvl="0" w:tplc="120E03D6">
      <w:start w:val="1"/>
      <w:numFmt w:val="decimal"/>
      <w:lvlText w:val="%1."/>
      <w:lvlJc w:val="left"/>
      <w:pPr>
        <w:ind w:left="720" w:hanging="360"/>
      </w:pPr>
      <w:rPr>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6" w15:restartNumberingAfterBreak="0">
    <w:nsid w:val="78D7284E"/>
    <w:multiLevelType w:val="hybridMultilevel"/>
    <w:tmpl w:val="DB32B2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AB82676"/>
    <w:multiLevelType w:val="hybridMultilevel"/>
    <w:tmpl w:val="7780D9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DA922F2"/>
    <w:multiLevelType w:val="hybridMultilevel"/>
    <w:tmpl w:val="97D07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30709585">
    <w:abstractNumId w:val="14"/>
  </w:num>
  <w:num w:numId="2" w16cid:durableId="803044485">
    <w:abstractNumId w:val="34"/>
  </w:num>
  <w:num w:numId="3" w16cid:durableId="1044477536">
    <w:abstractNumId w:val="2"/>
  </w:num>
  <w:num w:numId="4" w16cid:durableId="648704084">
    <w:abstractNumId w:val="8"/>
  </w:num>
  <w:num w:numId="5" w16cid:durableId="1524199236">
    <w:abstractNumId w:val="25"/>
  </w:num>
  <w:num w:numId="6" w16cid:durableId="1199664821">
    <w:abstractNumId w:val="24"/>
  </w:num>
  <w:num w:numId="7" w16cid:durableId="581644848">
    <w:abstractNumId w:val="10"/>
  </w:num>
  <w:num w:numId="8" w16cid:durableId="1226989072">
    <w:abstractNumId w:val="21"/>
  </w:num>
  <w:num w:numId="9" w16cid:durableId="85156215">
    <w:abstractNumId w:val="26"/>
  </w:num>
  <w:num w:numId="10" w16cid:durableId="616374535">
    <w:abstractNumId w:val="18"/>
  </w:num>
  <w:num w:numId="11" w16cid:durableId="1888104893">
    <w:abstractNumId w:val="16"/>
  </w:num>
  <w:num w:numId="12" w16cid:durableId="9257824">
    <w:abstractNumId w:val="32"/>
  </w:num>
  <w:num w:numId="13" w16cid:durableId="1237664865">
    <w:abstractNumId w:val="38"/>
  </w:num>
  <w:num w:numId="14" w16cid:durableId="1499929450">
    <w:abstractNumId w:val="29"/>
  </w:num>
  <w:num w:numId="15" w16cid:durableId="886603129">
    <w:abstractNumId w:val="23"/>
  </w:num>
  <w:num w:numId="16" w16cid:durableId="1279802189">
    <w:abstractNumId w:val="17"/>
  </w:num>
  <w:num w:numId="17" w16cid:durableId="1991473913">
    <w:abstractNumId w:val="4"/>
  </w:num>
  <w:num w:numId="18" w16cid:durableId="1418862629">
    <w:abstractNumId w:val="27"/>
  </w:num>
  <w:num w:numId="19" w16cid:durableId="1821073522">
    <w:abstractNumId w:val="15"/>
  </w:num>
  <w:num w:numId="20" w16cid:durableId="1736388241">
    <w:abstractNumId w:val="12"/>
  </w:num>
  <w:num w:numId="21" w16cid:durableId="2104837861">
    <w:abstractNumId w:val="1"/>
  </w:num>
  <w:num w:numId="22" w16cid:durableId="1198809286">
    <w:abstractNumId w:val="19"/>
  </w:num>
  <w:num w:numId="23" w16cid:durableId="539977831">
    <w:abstractNumId w:val="9"/>
  </w:num>
  <w:num w:numId="24" w16cid:durableId="839739746">
    <w:abstractNumId w:val="11"/>
  </w:num>
  <w:num w:numId="25" w16cid:durableId="1377435841">
    <w:abstractNumId w:val="6"/>
  </w:num>
  <w:num w:numId="26" w16cid:durableId="354380506">
    <w:abstractNumId w:val="7"/>
  </w:num>
  <w:num w:numId="27" w16cid:durableId="1073309675">
    <w:abstractNumId w:val="37"/>
  </w:num>
  <w:num w:numId="28" w16cid:durableId="6372849">
    <w:abstractNumId w:val="33"/>
  </w:num>
  <w:num w:numId="29" w16cid:durableId="345375548">
    <w:abstractNumId w:val="20"/>
  </w:num>
  <w:num w:numId="30" w16cid:durableId="1297951249">
    <w:abstractNumId w:val="36"/>
  </w:num>
  <w:num w:numId="31" w16cid:durableId="1020468742">
    <w:abstractNumId w:val="31"/>
  </w:num>
  <w:num w:numId="32" w16cid:durableId="1413358432">
    <w:abstractNumId w:val="28"/>
  </w:num>
  <w:num w:numId="33" w16cid:durableId="611322536">
    <w:abstractNumId w:val="3"/>
  </w:num>
  <w:num w:numId="34" w16cid:durableId="384180101">
    <w:abstractNumId w:val="30"/>
  </w:num>
  <w:num w:numId="35" w16cid:durableId="1250313830">
    <w:abstractNumId w:val="0"/>
  </w:num>
  <w:num w:numId="36" w16cid:durableId="36707474">
    <w:abstractNumId w:val="22"/>
  </w:num>
  <w:num w:numId="37" w16cid:durableId="446697872">
    <w:abstractNumId w:val="5"/>
  </w:num>
  <w:num w:numId="38" w16cid:durableId="1809666864">
    <w:abstractNumId w:val="13"/>
  </w:num>
  <w:num w:numId="39" w16cid:durableId="160043321">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52D9"/>
    <w:rsid w:val="00050475"/>
    <w:rsid w:val="000E2A22"/>
    <w:rsid w:val="000E6278"/>
    <w:rsid w:val="00131527"/>
    <w:rsid w:val="001814BF"/>
    <w:rsid w:val="001A62A0"/>
    <w:rsid w:val="002F28E7"/>
    <w:rsid w:val="003245CE"/>
    <w:rsid w:val="00337699"/>
    <w:rsid w:val="00394B1B"/>
    <w:rsid w:val="00402056"/>
    <w:rsid w:val="0040277B"/>
    <w:rsid w:val="00443560"/>
    <w:rsid w:val="004A6A93"/>
    <w:rsid w:val="00510B2C"/>
    <w:rsid w:val="005F2A23"/>
    <w:rsid w:val="0072296D"/>
    <w:rsid w:val="0072352D"/>
    <w:rsid w:val="00765C66"/>
    <w:rsid w:val="00860351"/>
    <w:rsid w:val="009F550D"/>
    <w:rsid w:val="00A720B6"/>
    <w:rsid w:val="00AF4457"/>
    <w:rsid w:val="00B452D9"/>
    <w:rsid w:val="00B50D5A"/>
    <w:rsid w:val="00C56F11"/>
    <w:rsid w:val="00DA081A"/>
    <w:rsid w:val="00E34302"/>
    <w:rsid w:val="00E7453A"/>
    <w:rsid w:val="00EA7025"/>
    <w:rsid w:val="00FA64E0"/>
    <w:rsid w:val="00FB635F"/>
    <w:rsid w:val="00FE6F6F"/>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F7386B"/>
  <w15:chartTrackingRefBased/>
  <w15:docId w15:val="{27B5FB57-FB64-7D42-BD9A-61632C3C89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CA"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452D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B452D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B452D9"/>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B452D9"/>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B452D9"/>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B452D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452D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452D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452D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452D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B452D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B452D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B452D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B452D9"/>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B452D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452D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452D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452D9"/>
    <w:rPr>
      <w:rFonts w:eastAsiaTheme="majorEastAsia" w:cstheme="majorBidi"/>
      <w:color w:val="272727" w:themeColor="text1" w:themeTint="D8"/>
    </w:rPr>
  </w:style>
  <w:style w:type="paragraph" w:styleId="Title">
    <w:name w:val="Title"/>
    <w:basedOn w:val="Normal"/>
    <w:next w:val="Normal"/>
    <w:link w:val="TitleChar"/>
    <w:uiPriority w:val="10"/>
    <w:qFormat/>
    <w:rsid w:val="00B452D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452D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B452D9"/>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B452D9"/>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452D9"/>
    <w:pPr>
      <w:spacing w:before="160"/>
      <w:jc w:val="center"/>
    </w:pPr>
    <w:rPr>
      <w:i/>
      <w:iCs/>
      <w:color w:val="404040" w:themeColor="text1" w:themeTint="BF"/>
    </w:rPr>
  </w:style>
  <w:style w:type="character" w:customStyle="1" w:styleId="QuoteChar">
    <w:name w:val="Quote Char"/>
    <w:basedOn w:val="DefaultParagraphFont"/>
    <w:link w:val="Quote"/>
    <w:uiPriority w:val="29"/>
    <w:rsid w:val="00B452D9"/>
    <w:rPr>
      <w:i/>
      <w:iCs/>
      <w:color w:val="404040" w:themeColor="text1" w:themeTint="BF"/>
    </w:rPr>
  </w:style>
  <w:style w:type="paragraph" w:styleId="ListParagraph">
    <w:name w:val="List Paragraph"/>
    <w:basedOn w:val="Normal"/>
    <w:uiPriority w:val="34"/>
    <w:qFormat/>
    <w:rsid w:val="00B452D9"/>
    <w:pPr>
      <w:ind w:left="720"/>
      <w:contextualSpacing/>
    </w:pPr>
  </w:style>
  <w:style w:type="character" w:styleId="IntenseEmphasis">
    <w:name w:val="Intense Emphasis"/>
    <w:basedOn w:val="DefaultParagraphFont"/>
    <w:uiPriority w:val="21"/>
    <w:qFormat/>
    <w:rsid w:val="00B452D9"/>
    <w:rPr>
      <w:i/>
      <w:iCs/>
      <w:color w:val="0F4761" w:themeColor="accent1" w:themeShade="BF"/>
    </w:rPr>
  </w:style>
  <w:style w:type="paragraph" w:styleId="IntenseQuote">
    <w:name w:val="Intense Quote"/>
    <w:basedOn w:val="Normal"/>
    <w:next w:val="Normal"/>
    <w:link w:val="IntenseQuoteChar"/>
    <w:uiPriority w:val="30"/>
    <w:qFormat/>
    <w:rsid w:val="00B452D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B452D9"/>
    <w:rPr>
      <w:i/>
      <w:iCs/>
      <w:color w:val="0F4761" w:themeColor="accent1" w:themeShade="BF"/>
    </w:rPr>
  </w:style>
  <w:style w:type="character" w:styleId="IntenseReference">
    <w:name w:val="Intense Reference"/>
    <w:basedOn w:val="DefaultParagraphFont"/>
    <w:uiPriority w:val="32"/>
    <w:qFormat/>
    <w:rsid w:val="00B452D9"/>
    <w:rPr>
      <w:b/>
      <w:bCs/>
      <w:smallCaps/>
      <w:color w:val="0F4761" w:themeColor="accent1" w:themeShade="BF"/>
      <w:spacing w:val="5"/>
    </w:rPr>
  </w:style>
  <w:style w:type="paragraph" w:customStyle="1" w:styleId="Default">
    <w:name w:val="Default"/>
    <w:rsid w:val="00B452D9"/>
    <w:pPr>
      <w:autoSpaceDE w:val="0"/>
      <w:autoSpaceDN w:val="0"/>
      <w:adjustRightInd w:val="0"/>
      <w:spacing w:after="0" w:line="240" w:lineRule="auto"/>
    </w:pPr>
    <w:rPr>
      <w:rFonts w:ascii="Canva Sans" w:hAnsi="Canva Sans" w:cs="Canva Sans"/>
      <w:color w:val="000000"/>
      <w:kern w:val="0"/>
      <w:lang w:val="en-US"/>
    </w:rPr>
  </w:style>
  <w:style w:type="paragraph" w:styleId="NoSpacing">
    <w:name w:val="No Spacing"/>
    <w:link w:val="NoSpacingChar"/>
    <w:uiPriority w:val="1"/>
    <w:qFormat/>
    <w:rsid w:val="00B452D9"/>
    <w:pPr>
      <w:spacing w:after="0" w:line="240" w:lineRule="auto"/>
    </w:pPr>
    <w:rPr>
      <w:rFonts w:eastAsiaTheme="minorEastAsia"/>
      <w:kern w:val="0"/>
      <w:sz w:val="22"/>
      <w:szCs w:val="22"/>
      <w:lang w:val="en-US" w:eastAsia="zh-CN"/>
      <w14:ligatures w14:val="none"/>
    </w:rPr>
  </w:style>
  <w:style w:type="character" w:customStyle="1" w:styleId="NoSpacingChar">
    <w:name w:val="No Spacing Char"/>
    <w:basedOn w:val="DefaultParagraphFont"/>
    <w:link w:val="NoSpacing"/>
    <w:uiPriority w:val="1"/>
    <w:rsid w:val="00B452D9"/>
    <w:rPr>
      <w:rFonts w:eastAsiaTheme="minorEastAsia"/>
      <w:kern w:val="0"/>
      <w:sz w:val="22"/>
      <w:szCs w:val="22"/>
      <w:lang w:val="en-US" w:eastAsia="zh-CN"/>
      <w14:ligatures w14:val="none"/>
    </w:rPr>
  </w:style>
  <w:style w:type="paragraph" w:styleId="Header">
    <w:name w:val="header"/>
    <w:basedOn w:val="Normal"/>
    <w:link w:val="HeaderChar"/>
    <w:uiPriority w:val="99"/>
    <w:unhideWhenUsed/>
    <w:rsid w:val="00B452D9"/>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52D9"/>
  </w:style>
  <w:style w:type="paragraph" w:styleId="Footer">
    <w:name w:val="footer"/>
    <w:basedOn w:val="Normal"/>
    <w:link w:val="FooterChar"/>
    <w:uiPriority w:val="99"/>
    <w:unhideWhenUsed/>
    <w:rsid w:val="00B452D9"/>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52D9"/>
  </w:style>
  <w:style w:type="character" w:styleId="PageNumber">
    <w:name w:val="page number"/>
    <w:basedOn w:val="DefaultParagraphFont"/>
    <w:uiPriority w:val="99"/>
    <w:semiHidden/>
    <w:unhideWhenUsed/>
    <w:rsid w:val="003245C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8</TotalTime>
  <Pages>4</Pages>
  <Words>1122</Words>
  <Characters>6402</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Angelina Castellano</dc:creator>
  <cp:keywords/>
  <dc:description/>
  <cp:lastModifiedBy>Kaeden Merasty</cp:lastModifiedBy>
  <cp:revision>4</cp:revision>
  <dcterms:created xsi:type="dcterms:W3CDTF">2026-04-27T19:50:00Z</dcterms:created>
  <dcterms:modified xsi:type="dcterms:W3CDTF">2026-04-27T19:59:00Z</dcterms:modified>
</cp:coreProperties>
</file>